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1F876FF7" w:rsidR="00D309CC" w:rsidRPr="00E8496D" w:rsidRDefault="00D309CC" w:rsidP="00D46431">
      <w:pPr>
        <w:pStyle w:val="CH"/>
        <w:rPr>
          <w:lang w:val="en-US"/>
        </w:rPr>
      </w:pPr>
      <w:bookmarkStart w:id="0" w:name="historyclause"/>
      <w:r>
        <w:t xml:space="preserve">3GPP </w:t>
      </w:r>
      <w:r w:rsidR="00595C50">
        <w:t>RAN4</w:t>
      </w:r>
      <w:r>
        <w:t xml:space="preserve"> Meeting </w:t>
      </w:r>
      <w:r w:rsidR="00595C50">
        <w:t>#11</w:t>
      </w:r>
      <w:r w:rsidR="00415E38">
        <w:t>6</w:t>
      </w:r>
      <w:r>
        <w:tab/>
      </w:r>
      <w:r w:rsidR="00D46431">
        <w:tab/>
      </w:r>
      <w:r w:rsidR="00415E38" w:rsidRPr="00415E38">
        <w:t>R4-2509570</w:t>
      </w:r>
    </w:p>
    <w:p w14:paraId="50DC9730" w14:textId="34303290" w:rsidR="00D309CC" w:rsidRPr="00FD166F" w:rsidRDefault="00415E38" w:rsidP="00D46431">
      <w:pPr>
        <w:pStyle w:val="CH"/>
        <w:tabs>
          <w:tab w:val="clear" w:pos="7920"/>
        </w:tabs>
        <w:rPr>
          <w:b w:val="0"/>
        </w:rPr>
      </w:pPr>
      <w:r>
        <w:t>Bengaluru</w:t>
      </w:r>
      <w:r w:rsidR="005A24BF">
        <w:t xml:space="preserve">, </w:t>
      </w:r>
      <w:r>
        <w:t>India</w:t>
      </w:r>
      <w:r w:rsidR="005A24BF">
        <w:t xml:space="preserve">, </w:t>
      </w:r>
      <w:r>
        <w:t>August</w:t>
      </w:r>
      <w:r w:rsidR="00E8496D">
        <w:t xml:space="preserve"> </w:t>
      </w:r>
      <w:r>
        <w:t>25-29</w:t>
      </w:r>
      <w:r w:rsidR="005A24BF">
        <w:t>, 2025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CDAA7B6" w:rsidR="00D309CC" w:rsidRPr="00595C50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132D8D" w:rsidRPr="00132D8D">
        <w:rPr>
          <w:lang w:val="en-US"/>
        </w:rPr>
        <w:t>7.</w:t>
      </w:r>
      <w:r w:rsidR="00415E38">
        <w:rPr>
          <w:lang w:val="en-US"/>
        </w:rPr>
        <w:t>10.3.2</w:t>
      </w:r>
    </w:p>
    <w:p w14:paraId="4DBE005A" w14:textId="51006D83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47D3024" w:rsidR="00D309CC" w:rsidRPr="00595C50" w:rsidRDefault="00D309CC" w:rsidP="00D309CC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0351A" w:rsidRPr="00D0351A">
        <w:rPr>
          <w:lang w:val="en-US"/>
        </w:rPr>
        <w:t>On Rel-19 NTN OTA test methodology</w:t>
      </w:r>
    </w:p>
    <w:p w14:paraId="052B1E0C" w14:textId="5F618DCE" w:rsidR="00104BC6" w:rsidRPr="00595C50" w:rsidRDefault="00104BC6" w:rsidP="00D309CC">
      <w:pPr>
        <w:pStyle w:val="CH"/>
        <w:rPr>
          <w:lang w:val="en-US"/>
        </w:rPr>
      </w:pPr>
      <w:r>
        <w:t>WI/SI:</w:t>
      </w:r>
      <w:r>
        <w:tab/>
      </w:r>
      <w:r w:rsidR="00595C50" w:rsidRPr="00595C50">
        <w:rPr>
          <w:lang w:val="en-US"/>
        </w:rPr>
        <w:t>TRP_TRS_MIMO_OTA_Ph3-Core</w:t>
      </w:r>
    </w:p>
    <w:p w14:paraId="6C6D1281" w14:textId="5070522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95C50">
        <w:t>Rel-19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D289629" w14:textId="7DACB798" w:rsidR="008E7986" w:rsidRDefault="00B845A4" w:rsidP="008E7986">
      <w:r>
        <w:t xml:space="preserve">During the RAN #103 meeting a new Work Item on </w:t>
      </w:r>
      <w:r w:rsidRPr="00B845A4">
        <w:t>TRP (Total Radiated Power), TRS (Total Radiated Sensitivity) and MIMO OTA (Over the Air) testing enhancement Phase 3</w:t>
      </w:r>
      <w:r>
        <w:t xml:space="preserve"> was approved with the following scope related to </w:t>
      </w:r>
      <w:r w:rsidR="001F718D">
        <w:t>IoT/NR NTN</w:t>
      </w:r>
      <w:r>
        <w:t xml:space="preserve"> devices</w:t>
      </w:r>
      <w:r w:rsidR="00AA3963">
        <w:t xml:space="preserve"> </w:t>
      </w:r>
      <w:r w:rsidR="00AA3963">
        <w:fldChar w:fldCharType="begin"/>
      </w:r>
      <w:r w:rsidR="00AA3963">
        <w:instrText xml:space="preserve"> REF _Ref197632155 \r \h </w:instrText>
      </w:r>
      <w:r w:rsidR="00AA3963">
        <w:fldChar w:fldCharType="separate"/>
      </w:r>
      <w:r w:rsidR="00760D77">
        <w:t>[1]</w:t>
      </w:r>
      <w:r w:rsidR="00AA3963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45A4" w:rsidRPr="00E91317" w14:paraId="5CD3CDB3" w14:textId="77777777" w:rsidTr="00B845A4">
        <w:tc>
          <w:tcPr>
            <w:tcW w:w="9631" w:type="dxa"/>
          </w:tcPr>
          <w:p w14:paraId="71841B81" w14:textId="77777777" w:rsidR="007F71BD" w:rsidRPr="00E91317" w:rsidRDefault="007F71BD" w:rsidP="007F71BD">
            <w:pPr>
              <w:pStyle w:val="ListParagraph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sz w:val="16"/>
                <w:szCs w:val="16"/>
              </w:rPr>
            </w:pPr>
            <w:r w:rsidRPr="00E91317">
              <w:rPr>
                <w:sz w:val="16"/>
                <w:szCs w:val="16"/>
              </w:rPr>
              <w:t>Study and define test methodology and radiated performance metric for FR1 NTN devices (including NR NTN and IoT NTN)</w:t>
            </w:r>
          </w:p>
          <w:p w14:paraId="742022B7" w14:textId="77777777" w:rsidR="007F71BD" w:rsidRPr="00E91317" w:rsidRDefault="007F71BD" w:rsidP="007F71BD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 w:val="16"/>
                <w:szCs w:val="16"/>
              </w:rPr>
            </w:pPr>
            <w:r w:rsidRPr="00E91317">
              <w:rPr>
                <w:sz w:val="16"/>
                <w:szCs w:val="16"/>
              </w:rPr>
              <w:t>Study the usage scenarios and develop enhanced test methodology</w:t>
            </w:r>
          </w:p>
          <w:p w14:paraId="0FE0B441" w14:textId="77777777" w:rsidR="007F71BD" w:rsidRPr="00E91317" w:rsidRDefault="007F71BD" w:rsidP="007F71BD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 w:val="16"/>
                <w:szCs w:val="16"/>
              </w:rPr>
            </w:pPr>
            <w:r w:rsidRPr="00E91317">
              <w:rPr>
                <w:sz w:val="16"/>
                <w:szCs w:val="16"/>
              </w:rPr>
              <w:t>Study and specify the pro</w:t>
            </w:r>
            <w:r w:rsidRPr="00E91317">
              <w:rPr>
                <w:rFonts w:hint="eastAsia"/>
                <w:sz w:val="16"/>
                <w:szCs w:val="16"/>
                <w:lang w:val="en-US" w:eastAsia="zh-CN"/>
              </w:rPr>
              <w:t>p</w:t>
            </w:r>
            <w:r w:rsidRPr="00E91317">
              <w:rPr>
                <w:sz w:val="16"/>
                <w:szCs w:val="16"/>
              </w:rPr>
              <w:t>er performance metric</w:t>
            </w:r>
          </w:p>
          <w:p w14:paraId="330EE0D3" w14:textId="1213F024" w:rsidR="00B845A4" w:rsidRPr="00E91317" w:rsidRDefault="007F71BD" w:rsidP="007F71BD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 w:val="16"/>
                <w:szCs w:val="16"/>
              </w:rPr>
            </w:pPr>
            <w:r w:rsidRPr="00E91317">
              <w:rPr>
                <w:sz w:val="16"/>
                <w:szCs w:val="16"/>
              </w:rPr>
              <w:t>Develop preliminary Measurement Uncertainty (MU)  (RAN5)</w:t>
            </w:r>
          </w:p>
        </w:tc>
      </w:tr>
    </w:tbl>
    <w:p w14:paraId="344E717F" w14:textId="77777777" w:rsidR="00CD71E9" w:rsidRDefault="00CD71E9" w:rsidP="008E7986"/>
    <w:p w14:paraId="7DF5B7F1" w14:textId="657208BC" w:rsidR="00415E38" w:rsidRDefault="00415E38" w:rsidP="008E7986">
      <w:r>
        <w:t xml:space="preserve">Over the course of the meetings in this work item the sub-topic related NTN TRP/TRS achieved agreements captured in the following way forward documents: </w:t>
      </w:r>
      <w:r w:rsidR="00086E33">
        <w:fldChar w:fldCharType="begin"/>
      </w:r>
      <w:r w:rsidR="00086E33">
        <w:instrText xml:space="preserve"> REF _Ref189727199 \r \h </w:instrText>
      </w:r>
      <w:r w:rsidR="00086E33">
        <w:fldChar w:fldCharType="separate"/>
      </w:r>
      <w:r w:rsidR="00760D77">
        <w:t>[2]</w:t>
      </w:r>
      <w:r w:rsidR="00086E33">
        <w:fldChar w:fldCharType="end"/>
      </w:r>
      <w:r>
        <w:t xml:space="preserve">, </w:t>
      </w:r>
      <w:r w:rsidR="00086E33">
        <w:fldChar w:fldCharType="begin"/>
      </w:r>
      <w:r w:rsidR="00086E33">
        <w:instrText xml:space="preserve"> REF _Ref189727234 \r \h </w:instrText>
      </w:r>
      <w:r w:rsidR="00086E33">
        <w:fldChar w:fldCharType="separate"/>
      </w:r>
      <w:r w:rsidR="00760D77">
        <w:t>[3]</w:t>
      </w:r>
      <w:r w:rsidR="00086E33">
        <w:fldChar w:fldCharType="end"/>
      </w:r>
      <w:r>
        <w:t>,</w:t>
      </w:r>
      <w:r w:rsidR="00AA3963">
        <w:t xml:space="preserve"> </w:t>
      </w:r>
      <w:r w:rsidR="00AA3963">
        <w:fldChar w:fldCharType="begin"/>
      </w:r>
      <w:r w:rsidR="00AA3963">
        <w:instrText xml:space="preserve"> REF _Ref194057820 \r \h </w:instrText>
      </w:r>
      <w:r w:rsidR="00AA3963">
        <w:fldChar w:fldCharType="separate"/>
      </w:r>
      <w:r w:rsidR="00760D77">
        <w:t>[4]</w:t>
      </w:r>
      <w:r w:rsidR="00AA3963">
        <w:fldChar w:fldCharType="end"/>
      </w:r>
      <w:r>
        <w:t xml:space="preserve">, and </w:t>
      </w:r>
      <w:r w:rsidR="00AA3963">
        <w:fldChar w:fldCharType="begin"/>
      </w:r>
      <w:r w:rsidR="00AA3963">
        <w:instrText xml:space="preserve"> REF _Ref197632314 \r \h </w:instrText>
      </w:r>
      <w:r w:rsidR="00AA3963">
        <w:fldChar w:fldCharType="separate"/>
      </w:r>
      <w:r w:rsidR="00760D77">
        <w:t>[5]</w:t>
      </w:r>
      <w:r w:rsidR="00AA3963">
        <w:fldChar w:fldCharType="end"/>
      </w:r>
      <w:r>
        <w:t xml:space="preserve">.  RAN4 #115 reached the following agreements </w:t>
      </w:r>
      <w:r>
        <w:fldChar w:fldCharType="begin"/>
      </w:r>
      <w:r>
        <w:instrText xml:space="preserve"> REF _Ref206148019 \r \h </w:instrText>
      </w:r>
      <w:r>
        <w:fldChar w:fldCharType="separate"/>
      </w:r>
      <w:r w:rsidR="00760D77">
        <w:t>[6]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15E38" w14:paraId="3A1837A5" w14:textId="77777777" w:rsidTr="00415E38">
        <w:tc>
          <w:tcPr>
            <w:tcW w:w="9631" w:type="dxa"/>
          </w:tcPr>
          <w:p w14:paraId="7BFA956A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ko-KR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1</w:t>
            </w:r>
            <w:r w:rsidRPr="00CB2117">
              <w:rPr>
                <w:b/>
                <w:u w:val="single"/>
                <w:lang w:eastAsia="ko-KR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Details on NTN usage </w:t>
            </w:r>
            <w:r w:rsidRPr="00CB2117">
              <w:rPr>
                <w:b/>
                <w:u w:val="single"/>
                <w:lang w:eastAsia="zh-CN"/>
              </w:rPr>
              <w:t>scenario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 declaration  </w:t>
            </w:r>
          </w:p>
          <w:p w14:paraId="5742EFA1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3DEFDCEA" w14:textId="77777777" w:rsidR="00415E38" w:rsidRPr="002E783A" w:rsidRDefault="00415E38" w:rsidP="00415E3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szCs w:val="24"/>
                <w:lang w:eastAsia="zh-CN"/>
              </w:rPr>
            </w:pPr>
            <w:r w:rsidRPr="002E783A">
              <w:rPr>
                <w:rStyle w:val="rynqvb"/>
                <w:rFonts w:hint="eastAsia"/>
                <w:lang w:val="en-US" w:eastAsia="zh-CN"/>
              </w:rPr>
              <w:t xml:space="preserve">RAN4 to adopt the </w:t>
            </w:r>
            <w:r w:rsidRPr="002E783A">
              <w:rPr>
                <w:rStyle w:val="rynqvb"/>
                <w:lang w:val="en-US" w:eastAsia="zh-CN"/>
              </w:rPr>
              <w:t>following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rules for s</w:t>
            </w:r>
            <w:r w:rsidRPr="002E783A">
              <w:rPr>
                <w:rStyle w:val="rynqvb"/>
                <w:lang w:val="en-US" w:eastAsia="zh-CN"/>
              </w:rPr>
              <w:t>cenario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</w:t>
            </w:r>
            <w:r w:rsidRPr="002E783A">
              <w:rPr>
                <w:rStyle w:val="rynqvb"/>
                <w:lang w:val="en-US" w:eastAsia="zh-CN"/>
              </w:rPr>
              <w:t>declaration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in NTN OTA testing:</w:t>
            </w:r>
            <w:r w:rsidRPr="002E783A">
              <w:rPr>
                <w:rFonts w:hint="eastAsia"/>
                <w:szCs w:val="24"/>
                <w:lang w:eastAsia="zh-CN"/>
              </w:rPr>
              <w:t xml:space="preserve"> </w:t>
            </w:r>
          </w:p>
          <w:p w14:paraId="35FAC64A" w14:textId="77777777" w:rsidR="00415E38" w:rsidRPr="002E783A" w:rsidRDefault="00415E38" w:rsidP="00415E38">
            <w:pPr>
              <w:pStyle w:val="ListParagraph"/>
              <w:numPr>
                <w:ilvl w:val="1"/>
                <w:numId w:val="11"/>
              </w:numPr>
              <w:tabs>
                <w:tab w:val="left" w:pos="2250"/>
              </w:tabs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Style w:val="rynqvb"/>
                <w:lang w:val="en-US" w:eastAsia="zh-CN"/>
              </w:rPr>
            </w:pPr>
            <w:r w:rsidRPr="002E783A">
              <w:rPr>
                <w:rStyle w:val="rynqvb"/>
                <w:rFonts w:hint="eastAsia"/>
                <w:lang w:val="en-US" w:eastAsia="zh-CN"/>
              </w:rPr>
              <w:t xml:space="preserve">DUT shall </w:t>
            </w:r>
            <w:r w:rsidRPr="002E783A">
              <w:rPr>
                <w:rStyle w:val="rynqvb"/>
                <w:lang w:val="en-US" w:eastAsia="zh-CN"/>
              </w:rPr>
              <w:t>declare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to support only one </w:t>
            </w:r>
            <w:r w:rsidRPr="002E783A">
              <w:rPr>
                <w:rStyle w:val="rynqvb"/>
                <w:lang w:val="en-US" w:eastAsia="zh-CN"/>
              </w:rPr>
              <w:t>scenario</w:t>
            </w:r>
          </w:p>
          <w:p w14:paraId="7095D115" w14:textId="77777777" w:rsidR="00415E38" w:rsidRPr="002E783A" w:rsidRDefault="00415E38" w:rsidP="00415E38">
            <w:pPr>
              <w:pStyle w:val="ListParagraph"/>
              <w:numPr>
                <w:ilvl w:val="1"/>
                <w:numId w:val="11"/>
              </w:numPr>
              <w:tabs>
                <w:tab w:val="left" w:pos="2250"/>
              </w:tabs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Style w:val="rynqvb"/>
                <w:lang w:val="en-US" w:eastAsia="zh-CN"/>
              </w:rPr>
            </w:pPr>
            <w:r w:rsidRPr="002E783A">
              <w:rPr>
                <w:rStyle w:val="rynqvb"/>
                <w:rFonts w:hint="eastAsia"/>
                <w:lang w:val="en-US" w:eastAsia="zh-CN"/>
              </w:rPr>
              <w:t xml:space="preserve">The </w:t>
            </w:r>
            <w:r w:rsidRPr="002E783A">
              <w:rPr>
                <w:rStyle w:val="rynqvb"/>
                <w:lang w:val="en-US" w:eastAsia="zh-CN"/>
              </w:rPr>
              <w:t>declaration of scenario applicability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shall be consistent with </w:t>
            </w:r>
            <w:r w:rsidRPr="002E783A">
              <w:rPr>
                <w:rStyle w:val="rynqvb"/>
                <w:lang w:val="en-US" w:eastAsia="zh-CN"/>
              </w:rPr>
              <w:t>product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</w:t>
            </w:r>
            <w:r w:rsidRPr="002E783A">
              <w:rPr>
                <w:rStyle w:val="rynqvb"/>
                <w:lang w:val="en-US" w:eastAsia="zh-CN"/>
              </w:rPr>
              <w:t>manual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usage </w:t>
            </w:r>
            <w:r w:rsidRPr="002E783A">
              <w:rPr>
                <w:rStyle w:val="rynqvb"/>
                <w:lang w:val="en-US" w:eastAsia="zh-CN"/>
              </w:rPr>
              <w:t>scenario</w:t>
            </w:r>
          </w:p>
          <w:p w14:paraId="3E83086B" w14:textId="77777777" w:rsidR="00415E38" w:rsidRPr="002E783A" w:rsidRDefault="00415E38" w:rsidP="00415E38">
            <w:pPr>
              <w:pStyle w:val="ListParagraph"/>
              <w:numPr>
                <w:ilvl w:val="1"/>
                <w:numId w:val="11"/>
              </w:numPr>
              <w:tabs>
                <w:tab w:val="left" w:pos="2250"/>
              </w:tabs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Style w:val="rynqvb"/>
                <w:lang w:val="en-US" w:eastAsia="zh-CN"/>
              </w:rPr>
            </w:pPr>
            <w:r w:rsidRPr="002E783A">
              <w:rPr>
                <w:rStyle w:val="rynqvb"/>
                <w:rFonts w:hint="eastAsia"/>
                <w:lang w:val="en-US" w:eastAsia="zh-CN"/>
              </w:rPr>
              <w:t>The</w:t>
            </w:r>
            <w:r w:rsidRPr="002E783A">
              <w:rPr>
                <w:rStyle w:val="rynqvb"/>
                <w:lang w:val="en-US" w:eastAsia="zh-CN"/>
              </w:rPr>
              <w:t xml:space="preserve"> declaration of scenario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shall be clearly stated in </w:t>
            </w:r>
            <w:r w:rsidRPr="002E783A">
              <w:rPr>
                <w:rStyle w:val="rynqvb"/>
                <w:lang w:val="en-US" w:eastAsia="zh-CN"/>
              </w:rPr>
              <w:t>the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test </w:t>
            </w:r>
            <w:r w:rsidRPr="002E783A">
              <w:rPr>
                <w:rStyle w:val="rynqvb"/>
                <w:lang w:val="en-US" w:eastAsia="zh-CN"/>
              </w:rPr>
              <w:t>report</w:t>
            </w:r>
            <w:r w:rsidRPr="002E783A">
              <w:rPr>
                <w:rStyle w:val="rynqvb"/>
                <w:rFonts w:hint="eastAsia"/>
                <w:lang w:val="en-US" w:eastAsia="zh-CN"/>
              </w:rPr>
              <w:t xml:space="preserve"> </w:t>
            </w:r>
          </w:p>
          <w:p w14:paraId="43E6B907" w14:textId="77777777" w:rsidR="00415E38" w:rsidRPr="00CB2117" w:rsidRDefault="00415E38" w:rsidP="00415E38">
            <w:pPr>
              <w:rPr>
                <w:b/>
                <w:u w:val="single"/>
                <w:lang w:eastAsia="ko-KR"/>
              </w:rPr>
            </w:pPr>
          </w:p>
          <w:p w14:paraId="05551850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ko-KR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alignment of understanding on UE positioning guideline for </w:t>
            </w:r>
            <w:r w:rsidRPr="00CB2117">
              <w:rPr>
                <w:b/>
                <w:u w:val="single"/>
                <w:lang w:eastAsia="zh-CN"/>
              </w:rPr>
              <w:t>Scenario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 2   </w:t>
            </w:r>
          </w:p>
          <w:p w14:paraId="2C927594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09B5714E" w14:textId="77777777" w:rsidR="00415E38" w:rsidRDefault="00415E38" w:rsidP="00415E3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>
              <w:rPr>
                <w:rStyle w:val="rynqvb"/>
                <w:szCs w:val="24"/>
                <w:lang w:eastAsia="zh-CN"/>
              </w:rPr>
              <w:t>For Scenario 2 UEs:</w:t>
            </w:r>
          </w:p>
          <w:p w14:paraId="10C87C34" w14:textId="77777777" w:rsidR="00415E38" w:rsidRDefault="00415E38" w:rsidP="00415E38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>
              <w:rPr>
                <w:rStyle w:val="rynqvb"/>
                <w:szCs w:val="24"/>
                <w:lang w:eastAsia="zh-CN"/>
              </w:rPr>
              <w:t>The DUT shall be mounted in a suitable hand phantom</w:t>
            </w:r>
          </w:p>
          <w:p w14:paraId="76519993" w14:textId="77777777" w:rsidR="00415E38" w:rsidRDefault="00415E38" w:rsidP="00415E38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>
              <w:rPr>
                <w:rStyle w:val="rynqvb"/>
                <w:szCs w:val="24"/>
                <w:lang w:eastAsia="zh-CN"/>
              </w:rPr>
              <w:t xml:space="preserve">The elevation tilt of the </w:t>
            </w:r>
            <w:r>
              <w:rPr>
                <w:rStyle w:val="rynqvb"/>
                <w:rFonts w:hint="eastAsia"/>
                <w:szCs w:val="24"/>
                <w:lang w:eastAsia="zh-CN"/>
              </w:rPr>
              <w:t xml:space="preserve">default </w:t>
            </w:r>
            <w:r>
              <w:rPr>
                <w:rStyle w:val="rynqvb"/>
                <w:szCs w:val="24"/>
                <w:lang w:eastAsia="zh-CN"/>
              </w:rPr>
              <w:t>position of the DUT can be:</w:t>
            </w:r>
          </w:p>
          <w:p w14:paraId="337D8F91" w14:textId="77777777" w:rsidR="00415E38" w:rsidRDefault="00415E38" w:rsidP="00415E38">
            <w:pPr>
              <w:pStyle w:val="ListParagraph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 w:rsidRPr="0070727B">
              <w:rPr>
                <w:rStyle w:val="rynqvb"/>
                <w:szCs w:val="24"/>
                <w:lang w:eastAsia="zh-CN"/>
              </w:rPr>
              <w:t>0 degree (similar to Figure 6.1-1 of TR 38.870, but with hand phantom)</w:t>
            </w:r>
            <w:r w:rsidRPr="009D4865">
              <w:t xml:space="preserve"> </w:t>
            </w:r>
            <w:r w:rsidRPr="009D4865">
              <w:rPr>
                <w:rStyle w:val="rynqvb"/>
                <w:szCs w:val="24"/>
                <w:lang w:eastAsia="zh-CN"/>
              </w:rPr>
              <w:t>or as shown below</w:t>
            </w:r>
          </w:p>
          <w:p w14:paraId="72F98E8E" w14:textId="77777777" w:rsidR="00415E38" w:rsidRPr="009D4865" w:rsidRDefault="00415E38" w:rsidP="00415E38">
            <w:pPr>
              <w:spacing w:after="120"/>
              <w:jc w:val="center"/>
              <w:rPr>
                <w:rStyle w:val="rynqvb"/>
                <w:szCs w:val="24"/>
                <w:lang w:eastAsia="zh-CN"/>
              </w:rPr>
            </w:pPr>
            <w:r w:rsidRPr="00B14209">
              <w:rPr>
                <w:rStyle w:val="rynqvb"/>
                <w:noProof/>
                <w:szCs w:val="24"/>
                <w:lang w:eastAsia="zh-CN"/>
              </w:rPr>
              <w:drawing>
                <wp:inline distT="0" distB="0" distL="0" distR="0" wp14:anchorId="09E7B603" wp14:editId="193E4E29">
                  <wp:extent cx="1334498" cy="1606617"/>
                  <wp:effectExtent l="0" t="0" r="0" b="0"/>
                  <wp:docPr id="46330608" name="Picture 1" descr="A hand holding a pho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30608" name="Picture 1" descr="A hand holding a phon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855" cy="1615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DED877" w14:textId="77777777" w:rsidR="00415E38" w:rsidRDefault="00415E38" w:rsidP="00415E38">
            <w:pPr>
              <w:pStyle w:val="ListParagraph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>
              <w:rPr>
                <w:rStyle w:val="rynqvb"/>
                <w:szCs w:val="24"/>
                <w:lang w:eastAsia="zh-CN"/>
              </w:rPr>
              <w:lastRenderedPageBreak/>
              <w:t>[</w:t>
            </w:r>
            <w:r w:rsidRPr="008462B1">
              <w:rPr>
                <w:rFonts w:eastAsia="Times New Roman"/>
              </w:rPr>
              <w:t>±</w:t>
            </w:r>
            <w:r>
              <w:rPr>
                <w:rStyle w:val="rynqvb"/>
                <w:szCs w:val="24"/>
                <w:lang w:eastAsia="zh-CN"/>
              </w:rPr>
              <w:t xml:space="preserve">15, </w:t>
            </w:r>
            <w:r w:rsidRPr="008462B1">
              <w:rPr>
                <w:rFonts w:eastAsia="Times New Roman"/>
              </w:rPr>
              <w:t>±</w:t>
            </w:r>
            <w:r>
              <w:rPr>
                <w:rStyle w:val="rynqvb"/>
                <w:szCs w:val="24"/>
                <w:lang w:eastAsia="zh-CN"/>
              </w:rPr>
              <w:t xml:space="preserve">30, </w:t>
            </w:r>
            <w:r w:rsidRPr="008462B1">
              <w:rPr>
                <w:rFonts w:eastAsia="Times New Roman"/>
              </w:rPr>
              <w:t>±</w:t>
            </w:r>
            <w:r>
              <w:rPr>
                <w:rStyle w:val="rynqvb"/>
                <w:szCs w:val="24"/>
                <w:lang w:eastAsia="zh-CN"/>
              </w:rPr>
              <w:t>45] degrees</w:t>
            </w:r>
            <w:r>
              <w:rPr>
                <w:rStyle w:val="rynqvb"/>
                <w:rFonts w:hint="eastAsia"/>
                <w:szCs w:val="24"/>
                <w:lang w:eastAsia="zh-CN"/>
              </w:rPr>
              <w:t xml:space="preserve">; </w:t>
            </w:r>
            <w:r w:rsidRPr="004D68B9">
              <w:rPr>
                <w:rStyle w:val="rynqvb"/>
                <w:szCs w:val="24"/>
                <w:lang w:eastAsia="zh-CN"/>
              </w:rPr>
              <w:t xml:space="preserve">Other </w:t>
            </w:r>
            <w:r>
              <w:rPr>
                <w:rStyle w:val="rynqvb"/>
                <w:szCs w:val="24"/>
                <w:lang w:eastAsia="zh-CN"/>
              </w:rPr>
              <w:t xml:space="preserve">tilt angles are </w:t>
            </w:r>
            <w:r w:rsidRPr="004D68B9">
              <w:rPr>
                <w:rStyle w:val="rynqvb"/>
                <w:szCs w:val="24"/>
                <w:lang w:eastAsia="zh-CN"/>
              </w:rPr>
              <w:t>not precluded</w:t>
            </w:r>
          </w:p>
          <w:p w14:paraId="0223493E" w14:textId="77777777" w:rsidR="00415E38" w:rsidRDefault="00415E38" w:rsidP="00415E38">
            <w:pPr>
              <w:pStyle w:val="ListParagraph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>
              <w:rPr>
                <w:rStyle w:val="rynqvb"/>
                <w:szCs w:val="24"/>
                <w:lang w:eastAsia="zh-CN"/>
              </w:rPr>
              <w:t xml:space="preserve">NOTE </w:t>
            </w:r>
            <w:r>
              <w:rPr>
                <w:rStyle w:val="rynqvb"/>
                <w:rFonts w:hint="eastAsia"/>
                <w:szCs w:val="24"/>
                <w:lang w:eastAsia="zh-CN"/>
              </w:rPr>
              <w:t>1</w:t>
            </w:r>
            <w:r>
              <w:rPr>
                <w:rStyle w:val="rynqvb"/>
                <w:szCs w:val="24"/>
                <w:lang w:eastAsia="zh-CN"/>
              </w:rPr>
              <w:t>: the granularity of the elevation tilt to be further discussed next meeting</w:t>
            </w:r>
          </w:p>
          <w:p w14:paraId="1EBD7451" w14:textId="77777777" w:rsidR="00415E38" w:rsidRPr="00297694" w:rsidRDefault="00415E38" w:rsidP="00415E38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>
              <w:rPr>
                <w:rStyle w:val="rynqvb"/>
                <w:szCs w:val="24"/>
                <w:lang w:eastAsia="zh-CN"/>
              </w:rPr>
              <w:t>The elevation tilt of the hand phantom &amp; DUT is determined based on OEM declaration</w:t>
            </w:r>
          </w:p>
          <w:p w14:paraId="65240205" w14:textId="77777777" w:rsidR="00415E38" w:rsidRPr="00CB2117" w:rsidRDefault="00415E38" w:rsidP="00415E38">
            <w:pPr>
              <w:rPr>
                <w:b/>
                <w:u w:val="single"/>
                <w:lang w:eastAsia="ko-KR"/>
              </w:rPr>
            </w:pPr>
          </w:p>
          <w:p w14:paraId="316E6C4F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ko-KR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4</w:t>
            </w:r>
            <w:r w:rsidRPr="00CB2117">
              <w:rPr>
                <w:b/>
                <w:u w:val="single"/>
                <w:lang w:eastAsia="ko-KR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Whether the partial sphere is using the </w:t>
            </w:r>
            <w:r w:rsidRPr="00CB2117">
              <w:rPr>
                <w:rFonts w:ascii="Symbol" w:hAnsi="Symbol"/>
                <w:b/>
                <w:u w:val="single"/>
              </w:rPr>
              <w:t></w:t>
            </w:r>
            <w:r w:rsidRPr="00CB2117">
              <w:rPr>
                <w:b/>
                <w:u w:val="single"/>
              </w:rPr>
              <w:t xml:space="preserve">=0° (top pole) </w:t>
            </w:r>
            <w:r w:rsidRPr="00CB2117">
              <w:rPr>
                <w:rFonts w:eastAsiaTheme="minorEastAsia" w:hint="eastAsia"/>
                <w:b/>
                <w:u w:val="single"/>
                <w:lang w:eastAsia="zh-CN"/>
              </w:rPr>
              <w:t>as a center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 </w:t>
            </w:r>
          </w:p>
          <w:p w14:paraId="743DDB27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040D59D0" w14:textId="77777777" w:rsidR="00415E38" w:rsidRPr="002E783A" w:rsidRDefault="00415E38" w:rsidP="00415E38">
            <w:pPr>
              <w:ind w:firstLine="284"/>
              <w:rPr>
                <w:rStyle w:val="rynqvb"/>
                <w:rFonts w:eastAsiaTheme="minorEastAsia"/>
                <w:lang w:val="en-US" w:eastAsia="zh-CN"/>
              </w:rPr>
            </w:pPr>
            <w:r w:rsidRPr="002E783A">
              <w:rPr>
                <w:rStyle w:val="rynqvb"/>
                <w:rFonts w:eastAsiaTheme="minorEastAsia"/>
                <w:lang w:val="en-US" w:eastAsia="zh-CN"/>
              </w:rPr>
              <w:t xml:space="preserve">the partial sphere </w:t>
            </w:r>
            <w:r w:rsidRPr="002E783A">
              <w:rPr>
                <w:rStyle w:val="rynqvb"/>
                <w:rFonts w:eastAsiaTheme="minorEastAsia" w:hint="eastAsia"/>
                <w:lang w:val="en-US" w:eastAsia="zh-CN"/>
              </w:rPr>
              <w:t xml:space="preserve">metric </w:t>
            </w:r>
            <w:r w:rsidRPr="002E783A">
              <w:rPr>
                <w:rStyle w:val="rynqvb"/>
                <w:rFonts w:eastAsiaTheme="minorEastAsia"/>
                <w:lang w:val="en-US" w:eastAsia="zh-CN"/>
              </w:rPr>
              <w:t xml:space="preserve">is using the </w:t>
            </w:r>
            <w:r w:rsidRPr="002E783A">
              <w:rPr>
                <w:rFonts w:ascii="Symbol" w:hAnsi="Symbol"/>
                <w:u w:val="single"/>
              </w:rPr>
              <w:t></w:t>
            </w:r>
            <w:r w:rsidRPr="002E783A">
              <w:rPr>
                <w:rStyle w:val="rynqvb"/>
                <w:rFonts w:eastAsiaTheme="minorEastAsia"/>
                <w:lang w:val="en-US" w:eastAsia="zh-CN"/>
              </w:rPr>
              <w:t xml:space="preserve"> =0° (top pole) as a center</w:t>
            </w:r>
          </w:p>
          <w:p w14:paraId="0F3B3098" w14:textId="77777777" w:rsidR="00415E38" w:rsidRPr="00CB2117" w:rsidRDefault="00415E38" w:rsidP="00415E38">
            <w:pPr>
              <w:rPr>
                <w:b/>
                <w:u w:val="single"/>
                <w:lang w:eastAsia="ko-KR"/>
              </w:rPr>
            </w:pPr>
          </w:p>
          <w:p w14:paraId="6CC3FB40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ko-KR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5</w:t>
            </w:r>
            <w:r w:rsidRPr="00CB2117">
              <w:rPr>
                <w:b/>
                <w:u w:val="single"/>
                <w:lang w:eastAsia="ko-KR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What is the angle range of the partial sphere-after concluding center of the sphere  </w:t>
            </w:r>
          </w:p>
          <w:p w14:paraId="358AC3C1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2784A68C" w14:textId="77777777" w:rsidR="00415E38" w:rsidRPr="008462B1" w:rsidRDefault="00415E38" w:rsidP="00415E38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Style w:val="rynqvb"/>
                <w:rFonts w:eastAsiaTheme="minorEastAsia"/>
                <w:lang w:val="en-US" w:eastAsia="zh-CN"/>
              </w:rPr>
            </w:pP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 xml:space="preserve">RAN4 further discuss the </w:t>
            </w:r>
            <w:r>
              <w:rPr>
                <w:rStyle w:val="rynqvb"/>
                <w:rFonts w:eastAsiaTheme="minorEastAsia" w:hint="eastAsia"/>
                <w:lang w:val="en-US" w:eastAsia="zh-CN"/>
              </w:rPr>
              <w:t xml:space="preserve">theta </w:t>
            </w:r>
            <w:r w:rsidRPr="008462B1">
              <w:rPr>
                <w:rFonts w:hint="eastAsia"/>
                <w:lang w:eastAsia="zh-CN"/>
              </w:rPr>
              <w:t xml:space="preserve">angle range of </w:t>
            </w: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 xml:space="preserve">partial sphere metric, from </w:t>
            </w:r>
            <w:r w:rsidRPr="008462B1">
              <w:rPr>
                <w:rFonts w:eastAsia="Times New Roman"/>
              </w:rPr>
              <w:t>±</w:t>
            </w:r>
            <w:r w:rsidRPr="008462B1">
              <w:rPr>
                <w:rFonts w:eastAsiaTheme="minorEastAsia" w:hint="eastAsia"/>
                <w:lang w:eastAsia="zh-CN"/>
              </w:rPr>
              <w:t>3</w:t>
            </w:r>
            <w:r w:rsidRPr="008462B1">
              <w:rPr>
                <w:rFonts w:eastAsia="Times New Roman"/>
              </w:rPr>
              <w:t>0°</w:t>
            </w:r>
            <w:r w:rsidRPr="008462B1">
              <w:rPr>
                <w:rFonts w:hint="eastAsia"/>
                <w:lang w:eastAsia="zh-CN"/>
              </w:rPr>
              <w:t>,</w:t>
            </w:r>
            <w:r w:rsidRPr="008462B1">
              <w:t xml:space="preserve"> </w:t>
            </w:r>
            <w:r w:rsidRPr="008462B1">
              <w:rPr>
                <w:rFonts w:eastAsia="Times New Roman"/>
              </w:rPr>
              <w:t>±60°</w:t>
            </w:r>
            <w:r w:rsidRPr="008462B1">
              <w:rPr>
                <w:rFonts w:hint="eastAsia"/>
                <w:lang w:eastAsia="zh-CN"/>
              </w:rPr>
              <w:t xml:space="preserve">, </w:t>
            </w:r>
            <w:r w:rsidRPr="008462B1">
              <w:rPr>
                <w:rFonts w:eastAsia="Times New Roman"/>
              </w:rPr>
              <w:t>±90°</w:t>
            </w:r>
            <w:r w:rsidRPr="008462B1">
              <w:rPr>
                <w:rFonts w:eastAsiaTheme="minorEastAsia" w:hint="eastAsia"/>
                <w:lang w:eastAsia="zh-CN"/>
              </w:rPr>
              <w:t>.</w:t>
            </w:r>
          </w:p>
          <w:p w14:paraId="26F5FDC3" w14:textId="77777777" w:rsidR="00415E38" w:rsidRPr="008462B1" w:rsidRDefault="00415E38" w:rsidP="00415E38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Style w:val="rynqvb"/>
                <w:rFonts w:eastAsiaTheme="minorEastAsia"/>
                <w:lang w:val="en-US" w:eastAsia="zh-CN"/>
              </w:rPr>
            </w:pP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>Option 1:  single range is selected and captured in TR</w:t>
            </w:r>
          </w:p>
          <w:p w14:paraId="4614DE75" w14:textId="77777777" w:rsidR="00415E38" w:rsidRPr="008462B1" w:rsidRDefault="00415E38" w:rsidP="00415E38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Style w:val="rynqvb"/>
                <w:rFonts w:eastAsiaTheme="minorEastAsia"/>
                <w:lang w:val="en-US" w:eastAsia="zh-CN"/>
              </w:rPr>
            </w:pP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>Option 2:  multi-range in TR but based on UE declaration, details are FFS</w:t>
            </w:r>
          </w:p>
          <w:p w14:paraId="29A70652" w14:textId="77777777" w:rsidR="00415E38" w:rsidRDefault="00415E38" w:rsidP="00415E38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Style w:val="rynqvb"/>
                <w:rFonts w:eastAsiaTheme="minorEastAsia"/>
                <w:lang w:val="en-US" w:eastAsia="zh-CN"/>
              </w:rPr>
            </w:pPr>
            <w:r>
              <w:rPr>
                <w:rStyle w:val="rynqvb"/>
                <w:rFonts w:eastAsiaTheme="minorEastAsia" w:hint="eastAsia"/>
                <w:lang w:val="en-US" w:eastAsia="zh-CN"/>
              </w:rPr>
              <w:t>Note1: the phi range should be 360 degrees</w:t>
            </w:r>
          </w:p>
          <w:p w14:paraId="07AA4D23" w14:textId="77777777" w:rsidR="00415E38" w:rsidRPr="008462B1" w:rsidRDefault="00415E38" w:rsidP="00415E38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rStyle w:val="rynqvb"/>
                <w:rFonts w:eastAsiaTheme="minorEastAsia"/>
                <w:lang w:val="en-US" w:eastAsia="zh-CN"/>
              </w:rPr>
            </w:pP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>Note</w:t>
            </w:r>
            <w:r>
              <w:rPr>
                <w:rStyle w:val="rynqvb"/>
                <w:rFonts w:eastAsiaTheme="minorEastAsia" w:hint="eastAsia"/>
                <w:lang w:val="en-US" w:eastAsia="zh-CN"/>
              </w:rPr>
              <w:t>2</w:t>
            </w: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>: if multiple range</w:t>
            </w:r>
            <w:r>
              <w:rPr>
                <w:rStyle w:val="rynqvb"/>
                <w:rFonts w:eastAsiaTheme="minorEastAsia" w:hint="eastAsia"/>
                <w:lang w:val="en-US" w:eastAsia="zh-CN"/>
              </w:rPr>
              <w:t>s</w:t>
            </w: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 xml:space="preserve"> are captured in TR, the metric applicability rule should also be defined. The target is select</w:t>
            </w:r>
            <w:r>
              <w:rPr>
                <w:rStyle w:val="rynqvb"/>
                <w:rFonts w:eastAsiaTheme="minorEastAsia" w:hint="eastAsia"/>
                <w:lang w:val="en-US" w:eastAsia="zh-CN"/>
              </w:rPr>
              <w:t>ing</w:t>
            </w:r>
            <w:r w:rsidRPr="008462B1">
              <w:rPr>
                <w:rStyle w:val="rynqvb"/>
                <w:rFonts w:eastAsiaTheme="minorEastAsia" w:hint="eastAsia"/>
                <w:lang w:val="en-US" w:eastAsia="zh-CN"/>
              </w:rPr>
              <w:t xml:space="preserve"> one for NTN scenario 2.</w:t>
            </w:r>
          </w:p>
          <w:p w14:paraId="2B5DE6EC" w14:textId="77777777" w:rsidR="00415E38" w:rsidRPr="00CB2117" w:rsidRDefault="00415E38" w:rsidP="00415E38">
            <w:pPr>
              <w:rPr>
                <w:b/>
                <w:u w:val="single"/>
                <w:lang w:eastAsia="ko-KR"/>
              </w:rPr>
            </w:pPr>
          </w:p>
          <w:p w14:paraId="4C70AFD8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ko-KR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-1-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6</w:t>
            </w:r>
            <w:r w:rsidRPr="00CB2117">
              <w:rPr>
                <w:b/>
                <w:u w:val="single"/>
                <w:lang w:eastAsia="ko-KR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Whether Using </w:t>
            </w:r>
            <w:r w:rsidRPr="00CB2117">
              <w:rPr>
                <w:b/>
                <w:u w:val="single"/>
                <w:lang w:eastAsia="zh-CN"/>
              </w:rPr>
              <w:t>integration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 of EIRP/EIS or CDF?  </w:t>
            </w:r>
          </w:p>
          <w:p w14:paraId="1A16CF95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zh-CN"/>
              </w:rPr>
              <w:t>A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78263FFF" w14:textId="77777777" w:rsidR="00415E38" w:rsidRPr="00590DAA" w:rsidRDefault="00415E38" w:rsidP="00415E38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szCs w:val="24"/>
                <w:lang w:eastAsia="zh-CN"/>
              </w:rPr>
            </w:pPr>
            <w:r w:rsidRPr="00590DAA">
              <w:rPr>
                <w:rFonts w:hint="eastAsia"/>
                <w:szCs w:val="24"/>
                <w:lang w:eastAsia="zh-CN"/>
              </w:rPr>
              <w:t xml:space="preserve">Integration is baseline. </w:t>
            </w:r>
          </w:p>
          <w:p w14:paraId="6E7214AB" w14:textId="77777777" w:rsidR="00415E38" w:rsidRPr="00590DAA" w:rsidRDefault="00415E38" w:rsidP="00415E38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Style w:val="rynqvb"/>
                <w:rFonts w:eastAsiaTheme="minorEastAsia"/>
                <w:lang w:eastAsia="zh-CN"/>
              </w:rPr>
            </w:pPr>
            <w:r w:rsidRPr="00590DAA">
              <w:rPr>
                <w:szCs w:val="24"/>
                <w:lang w:eastAsia="zh-CN"/>
              </w:rPr>
              <w:t>I</w:t>
            </w:r>
            <w:r w:rsidRPr="00590DAA">
              <w:rPr>
                <w:rFonts w:hint="eastAsia"/>
                <w:szCs w:val="24"/>
                <w:lang w:eastAsia="zh-CN"/>
              </w:rPr>
              <w:t xml:space="preserve">f different range is declared in issue 2-1-5, how to ensure the metric </w:t>
            </w:r>
            <w:r w:rsidRPr="00590DAA">
              <w:rPr>
                <w:szCs w:val="24"/>
                <w:lang w:eastAsia="zh-CN"/>
              </w:rPr>
              <w:t>comparable</w:t>
            </w:r>
            <w:r w:rsidRPr="00590DAA">
              <w:rPr>
                <w:rFonts w:hint="eastAsia"/>
                <w:szCs w:val="24"/>
                <w:lang w:eastAsia="zh-CN"/>
              </w:rPr>
              <w:t xml:space="preserve"> should be </w:t>
            </w:r>
            <w:r w:rsidRPr="00590DAA">
              <w:rPr>
                <w:szCs w:val="24"/>
                <w:lang w:eastAsia="zh-CN"/>
              </w:rPr>
              <w:t>discussed</w:t>
            </w:r>
            <w:r w:rsidRPr="00590DAA">
              <w:rPr>
                <w:rFonts w:hint="eastAsia"/>
                <w:szCs w:val="24"/>
                <w:lang w:eastAsia="zh-CN"/>
              </w:rPr>
              <w:t xml:space="preserve"> and resolved. </w:t>
            </w:r>
          </w:p>
          <w:p w14:paraId="298FC7B4" w14:textId="77777777" w:rsidR="00415E38" w:rsidRPr="00CB2117" w:rsidRDefault="00415E38" w:rsidP="00415E38">
            <w:pPr>
              <w:rPr>
                <w:i/>
                <w:lang w:eastAsia="zh-CN"/>
              </w:rPr>
            </w:pPr>
          </w:p>
          <w:p w14:paraId="1F3DF6AE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ko-KR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zh-CN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Whether Dwell time is considered during NTN OTA testing</w:t>
            </w:r>
          </w:p>
          <w:p w14:paraId="272D45A8" w14:textId="77777777" w:rsidR="00415E38" w:rsidRPr="00590DAA" w:rsidRDefault="00415E38" w:rsidP="00415E38">
            <w:pPr>
              <w:rPr>
                <w:b/>
                <w:u w:val="single"/>
                <w:lang w:eastAsia="zh-CN"/>
              </w:rPr>
            </w:pPr>
            <w:r w:rsidRPr="00590DAA">
              <w:rPr>
                <w:b/>
                <w:u w:val="single"/>
                <w:lang w:eastAsia="zh-CN"/>
              </w:rPr>
              <w:t>A</w:t>
            </w:r>
            <w:r w:rsidRPr="00590DAA"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0ED60CB6" w14:textId="77777777" w:rsidR="00415E38" w:rsidRPr="00590DAA" w:rsidRDefault="00415E38" w:rsidP="00415E3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Style w:val="rynqvb"/>
                <w:szCs w:val="24"/>
                <w:lang w:eastAsia="zh-CN"/>
              </w:rPr>
            </w:pPr>
            <w:r w:rsidRPr="00590DAA">
              <w:rPr>
                <w:rStyle w:val="rynqvb"/>
                <w:rFonts w:hint="eastAsia"/>
                <w:lang w:val="en-US" w:eastAsia="zh-CN"/>
              </w:rPr>
              <w:t xml:space="preserve">RAN4 </w:t>
            </w:r>
            <w:r w:rsidRPr="00590DAA">
              <w:rPr>
                <w:rStyle w:val="rynqvb"/>
                <w:rFonts w:eastAsiaTheme="minorEastAsia" w:hint="eastAsia"/>
                <w:lang w:val="en-US" w:eastAsia="zh-CN"/>
              </w:rPr>
              <w:t>further discuss and align understanding of NTN antenna tuning, if any.</w:t>
            </w:r>
          </w:p>
          <w:p w14:paraId="44B24AF4" w14:textId="77777777" w:rsidR="00415E38" w:rsidRPr="00590DAA" w:rsidRDefault="00415E38" w:rsidP="00415E3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szCs w:val="24"/>
                <w:lang w:eastAsia="zh-CN"/>
              </w:rPr>
            </w:pPr>
            <w:r w:rsidRPr="00590DAA">
              <w:rPr>
                <w:rStyle w:val="rynqvb"/>
                <w:rFonts w:eastAsiaTheme="minorEastAsia" w:hint="eastAsia"/>
                <w:lang w:val="en-US" w:eastAsia="zh-CN"/>
              </w:rPr>
              <w:t>RAN4 further discuss whether Dwell time for NTN OTA test case is needed or not.</w:t>
            </w:r>
            <w:r w:rsidRPr="00590DAA">
              <w:rPr>
                <w:rFonts w:hint="eastAsia"/>
                <w:szCs w:val="24"/>
                <w:lang w:eastAsia="zh-CN"/>
              </w:rPr>
              <w:t xml:space="preserve"> a decision in RAN4 is needed.</w:t>
            </w:r>
          </w:p>
          <w:p w14:paraId="06F24C42" w14:textId="77777777" w:rsidR="00415E38" w:rsidRPr="00CB2117" w:rsidRDefault="00415E38" w:rsidP="00415E38">
            <w:pPr>
              <w:pStyle w:val="ListParagraph"/>
              <w:overflowPunct/>
              <w:autoSpaceDE/>
              <w:autoSpaceDN/>
              <w:adjustRightInd/>
              <w:spacing w:after="120"/>
              <w:ind w:left="1656"/>
              <w:textAlignment w:val="auto"/>
              <w:rPr>
                <w:szCs w:val="24"/>
                <w:lang w:eastAsia="zh-CN"/>
              </w:rPr>
            </w:pPr>
          </w:p>
          <w:p w14:paraId="18643CBF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b/>
                <w:u w:val="single"/>
                <w:lang w:eastAsia="ko-KR"/>
              </w:rPr>
              <w:t xml:space="preserve">Issue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2</w:t>
            </w:r>
            <w:r w:rsidRPr="00CB2117">
              <w:rPr>
                <w:b/>
                <w:u w:val="single"/>
                <w:lang w:eastAsia="ko-KR"/>
              </w:rPr>
              <w:t>-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>3</w:t>
            </w:r>
            <w:r w:rsidRPr="00CB2117">
              <w:rPr>
                <w:b/>
                <w:u w:val="single"/>
                <w:lang w:eastAsia="zh-CN"/>
              </w:rPr>
              <w:t xml:space="preserve">: </w:t>
            </w:r>
            <w:r w:rsidRPr="00CB2117">
              <w:rPr>
                <w:rFonts w:hint="eastAsia"/>
                <w:b/>
                <w:u w:val="single"/>
                <w:lang w:eastAsia="zh-CN"/>
              </w:rPr>
              <w:t xml:space="preserve">NTN MU </w:t>
            </w:r>
          </w:p>
          <w:p w14:paraId="587B2AC6" w14:textId="77777777" w:rsidR="00415E38" w:rsidRPr="00CB2117" w:rsidRDefault="00415E38" w:rsidP="00415E38">
            <w:pPr>
              <w:rPr>
                <w:b/>
                <w:u w:val="single"/>
                <w:lang w:eastAsia="zh-CN"/>
              </w:rPr>
            </w:pPr>
            <w:r w:rsidRPr="00CB2117">
              <w:rPr>
                <w:rFonts w:hint="eastAsia"/>
                <w:b/>
                <w:u w:val="single"/>
                <w:lang w:eastAsia="zh-CN"/>
              </w:rPr>
              <w:t>Agreements:</w:t>
            </w:r>
          </w:p>
          <w:p w14:paraId="0824E166" w14:textId="77777777" w:rsidR="00415E38" w:rsidRPr="00CB2117" w:rsidRDefault="00415E38" w:rsidP="00415E3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szCs w:val="24"/>
                <w:lang w:eastAsia="zh-CN"/>
              </w:rPr>
            </w:pPr>
            <w:r w:rsidRPr="00CB2117">
              <w:rPr>
                <w:szCs w:val="24"/>
                <w:lang w:eastAsia="zh-CN"/>
              </w:rPr>
              <w:t>F</w:t>
            </w:r>
            <w:r w:rsidRPr="00CB2117">
              <w:rPr>
                <w:rFonts w:hint="eastAsia"/>
                <w:szCs w:val="24"/>
                <w:lang w:eastAsia="zh-CN"/>
              </w:rPr>
              <w:t xml:space="preserve">or NTN OTA, there is no MU update identified. </w:t>
            </w:r>
            <w:r w:rsidRPr="00CB2117">
              <w:rPr>
                <w:szCs w:val="24"/>
                <w:lang w:eastAsia="zh-CN"/>
              </w:rPr>
              <w:t>P</w:t>
            </w:r>
            <w:r w:rsidRPr="00CB2117">
              <w:rPr>
                <w:rFonts w:hint="eastAsia"/>
                <w:szCs w:val="24"/>
                <w:lang w:eastAsia="zh-CN"/>
              </w:rPr>
              <w:t>artial sphere metric related MU may be further discussed, if needed.</w:t>
            </w:r>
          </w:p>
          <w:p w14:paraId="52E86FDC" w14:textId="77777777" w:rsidR="00415E38" w:rsidRDefault="00415E38" w:rsidP="008E7986"/>
        </w:tc>
      </w:tr>
    </w:tbl>
    <w:p w14:paraId="3639B240" w14:textId="77777777" w:rsidR="00415E38" w:rsidRDefault="00415E38" w:rsidP="008E7986"/>
    <w:p w14:paraId="12682648" w14:textId="63976979" w:rsidR="00AA3963" w:rsidRDefault="00AA3963" w:rsidP="008E7986">
      <w:r>
        <w:t xml:space="preserve">Additionally, a draft CR was agreed during RAN4 #115, capturing the structure of the agreed usage scenarios and placeholder clauses for the corresponding performance metric </w:t>
      </w:r>
      <w:r>
        <w:fldChar w:fldCharType="begin"/>
      </w:r>
      <w:r>
        <w:instrText xml:space="preserve"> REF _Ref197632395 \r \h </w:instrText>
      </w:r>
      <w:r>
        <w:fldChar w:fldCharType="separate"/>
      </w:r>
      <w:r w:rsidR="00760D77">
        <w:t>[7]</w:t>
      </w:r>
      <w:r>
        <w:fldChar w:fldCharType="end"/>
      </w:r>
      <w:r>
        <w:t>.</w:t>
      </w:r>
    </w:p>
    <w:p w14:paraId="06E92CC7" w14:textId="4064E769" w:rsidR="008E7986" w:rsidRDefault="00B845A4" w:rsidP="008E7986">
      <w:r>
        <w:t>This contribution provides our views related to this objective.</w:t>
      </w:r>
    </w:p>
    <w:p w14:paraId="3A67921B" w14:textId="1276B2D4" w:rsidR="008E7986" w:rsidRDefault="008E7986" w:rsidP="008E7986">
      <w:pPr>
        <w:pStyle w:val="Heading1"/>
      </w:pPr>
      <w:r>
        <w:lastRenderedPageBreak/>
        <w:t>2</w:t>
      </w:r>
      <w:r>
        <w:tab/>
      </w:r>
      <w:r w:rsidR="00B845A4">
        <w:t>Discussion</w:t>
      </w:r>
    </w:p>
    <w:p w14:paraId="79720E6E" w14:textId="4F00AA0F" w:rsidR="00E72511" w:rsidRDefault="00CD77D6" w:rsidP="00FA2DA6">
      <w:r>
        <w:t xml:space="preserve">Given the clear delineation of the scenarios applicable to NTN devices (see Issue 3-1-2 in </w:t>
      </w:r>
      <w:r>
        <w:fldChar w:fldCharType="begin"/>
      </w:r>
      <w:r>
        <w:instrText xml:space="preserve"> REF _Ref189727234 \r \h </w:instrText>
      </w:r>
      <w:r>
        <w:fldChar w:fldCharType="separate"/>
      </w:r>
      <w:r w:rsidR="00760D77">
        <w:t>[3]</w:t>
      </w:r>
      <w:r>
        <w:fldChar w:fldCharType="end"/>
      </w:r>
      <w:r>
        <w:t>)</w:t>
      </w:r>
      <w:r w:rsidR="0045251E">
        <w:t xml:space="preserve"> and the agreement by RAN4 to introduce the OEM declaration (see Issue 3-1-1 in </w:t>
      </w:r>
      <w:r w:rsidR="0045251E">
        <w:fldChar w:fldCharType="begin"/>
      </w:r>
      <w:r w:rsidR="0045251E">
        <w:instrText xml:space="preserve"> REF _Ref194057820 \r \h </w:instrText>
      </w:r>
      <w:r w:rsidR="0045251E">
        <w:fldChar w:fldCharType="separate"/>
      </w:r>
      <w:r w:rsidR="00760D77">
        <w:t>[4]</w:t>
      </w:r>
      <w:r w:rsidR="0045251E">
        <w:fldChar w:fldCharType="end"/>
      </w:r>
      <w:r w:rsidR="0045251E">
        <w:t xml:space="preserve">), the OEM declaration of scenario applicability </w:t>
      </w:r>
      <w:r w:rsidR="000D7AE4">
        <w:t>has</w:t>
      </w:r>
      <w:r w:rsidR="0045251E">
        <w:t xml:space="preserve"> be</w:t>
      </w:r>
      <w:r w:rsidR="000D7AE4">
        <w:t>en</w:t>
      </w:r>
      <w:r w:rsidR="0045251E">
        <w:t xml:space="preserve"> formulated for the TR</w:t>
      </w:r>
      <w:r w:rsidR="000D7AE4">
        <w:t xml:space="preserve">, as captured in the draft CR in </w:t>
      </w:r>
      <w:r w:rsidR="000D7AE4">
        <w:fldChar w:fldCharType="begin"/>
      </w:r>
      <w:r w:rsidR="000D7AE4">
        <w:instrText xml:space="preserve"> REF _Ref197632395 \r \h </w:instrText>
      </w:r>
      <w:r w:rsidR="000D7AE4">
        <w:fldChar w:fldCharType="separate"/>
      </w:r>
      <w:r w:rsidR="00760D77">
        <w:t>[7]</w:t>
      </w:r>
      <w:r w:rsidR="000D7AE4">
        <w:fldChar w:fldCharType="end"/>
      </w:r>
      <w:r w:rsidR="000D7AE4">
        <w:t>:</w:t>
      </w:r>
    </w:p>
    <w:p w14:paraId="0815D038" w14:textId="6E376331" w:rsidR="000D7AE4" w:rsidRDefault="00406A7A" w:rsidP="00FA2DA6">
      <w:r w:rsidRPr="00406A7A">
        <w:rPr>
          <w:noProof/>
        </w:rPr>
        <w:drawing>
          <wp:inline distT="0" distB="0" distL="0" distR="0" wp14:anchorId="5DE542F0" wp14:editId="49118712">
            <wp:extent cx="6122035" cy="3872230"/>
            <wp:effectExtent l="12700" t="12700" r="12065" b="13970"/>
            <wp:docPr id="16741711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17114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8722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22E60B8" w14:textId="4ED3A19C" w:rsidR="00CD77D6" w:rsidRDefault="00CD77D6" w:rsidP="00B808FA">
      <w:r>
        <w:t>T</w:t>
      </w:r>
      <w:r w:rsidR="00B808FA">
        <w:t xml:space="preserve">he </w:t>
      </w:r>
      <w:r>
        <w:t xml:space="preserve">applicability of the </w:t>
      </w:r>
      <w:r w:rsidR="00B808FA">
        <w:t xml:space="preserve">OTA performance metric for </w:t>
      </w:r>
      <w:r>
        <w:t xml:space="preserve">IoT </w:t>
      </w:r>
      <w:r w:rsidR="00B808FA">
        <w:t>NTN</w:t>
      </w:r>
      <w:r>
        <w:t xml:space="preserve"> and NR NTN</w:t>
      </w:r>
      <w:r w:rsidR="00B808FA">
        <w:t xml:space="preserve"> UEs </w:t>
      </w:r>
      <w:r>
        <w:t xml:space="preserve">is also determined by </w:t>
      </w:r>
      <w:r w:rsidR="000D7AE4">
        <w:t>this</w:t>
      </w:r>
      <w:r>
        <w:t xml:space="preserve"> scenario declaration.  For handheld UEs declaring support of Scenario 1</w:t>
      </w:r>
      <w:r w:rsidR="00580C5B">
        <w:t xml:space="preserve"> and Scenario 3</w:t>
      </w:r>
      <w:r>
        <w:t xml:space="preserve">, the performance metric </w:t>
      </w:r>
      <w:r w:rsidR="000D7AE4">
        <w:t>assumes the</w:t>
      </w:r>
      <w:r>
        <w:t xml:space="preserve"> </w:t>
      </w:r>
      <w:r w:rsidR="000D7AE4">
        <w:t>angles of arrival of the desired signal</w:t>
      </w:r>
      <w:r>
        <w:t xml:space="preserve"> </w:t>
      </w:r>
      <w:r w:rsidR="000D7AE4">
        <w:t>are</w:t>
      </w:r>
      <w:r>
        <w:t xml:space="preserve"> likely from any direction </w:t>
      </w:r>
      <w:r w:rsidR="000D7AE4">
        <w:t xml:space="preserve">and relative to any </w:t>
      </w:r>
      <w:r>
        <w:t>orientation of the device</w:t>
      </w:r>
      <w:r w:rsidR="000D7AE4">
        <w:t>.  For this scenario</w:t>
      </w:r>
      <w:r w:rsidR="0045251E">
        <w:t xml:space="preserve"> RAN4 has already agreed that the full sphere TRP and TRS performance metrics apply</w:t>
      </w:r>
      <w:r>
        <w:t>.</w:t>
      </w:r>
    </w:p>
    <w:p w14:paraId="104FEB72" w14:textId="02251CA9" w:rsidR="002E6F20" w:rsidRDefault="002E6F20" w:rsidP="002E6F20">
      <w:pPr>
        <w:pStyle w:val="Observation"/>
      </w:pPr>
      <w:bookmarkStart w:id="1" w:name="_Toc13820865"/>
      <w:bookmarkStart w:id="2" w:name="_Toc13820963"/>
      <w:bookmarkStart w:id="3" w:name="_Toc13823287"/>
      <w:bookmarkStart w:id="4" w:name="_Toc13823509"/>
      <w:bookmarkStart w:id="5" w:name="_Toc13823765"/>
      <w:bookmarkStart w:id="6" w:name="_Toc189810788"/>
      <w:bookmarkStart w:id="7" w:name="_Toc189810799"/>
      <w:bookmarkStart w:id="8" w:name="_Toc189810856"/>
      <w:bookmarkStart w:id="9" w:name="_Toc194058959"/>
      <w:bookmarkStart w:id="10" w:name="_Toc194059004"/>
      <w:bookmarkStart w:id="11" w:name="_Toc194059102"/>
      <w:bookmarkStart w:id="12" w:name="_Toc194059236"/>
      <w:bookmarkStart w:id="13" w:name="_Toc197634262"/>
      <w:bookmarkStart w:id="14" w:name="_Toc197634310"/>
      <w:bookmarkStart w:id="15" w:name="_Toc206148023"/>
      <w:bookmarkStart w:id="16" w:name="_Toc206154908"/>
      <w:r>
        <w:t>Observation 1:</w:t>
      </w:r>
      <w:r>
        <w:tab/>
      </w:r>
      <w:bookmarkEnd w:id="1"/>
      <w:bookmarkEnd w:id="2"/>
      <w:bookmarkEnd w:id="3"/>
      <w:bookmarkEnd w:id="4"/>
      <w:bookmarkEnd w:id="5"/>
      <w:r>
        <w:t xml:space="preserve">For Scenario </w:t>
      </w:r>
      <w:r w:rsidR="00580C5B">
        <w:t>1 and 3</w:t>
      </w:r>
      <w:r>
        <w:t xml:space="preserve"> UEs, RAN4 has already agreed that the full-sphere TRP and TRS metrics apply.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114590" w14:textId="084E97B0" w:rsidR="0045251E" w:rsidRDefault="00CD77D6" w:rsidP="00B808FA">
      <w:r>
        <w:t xml:space="preserve">For handheld UEs declaring support of Scenario 2, our </w:t>
      </w:r>
      <w:r w:rsidR="0045251E">
        <w:t xml:space="preserve">past </w:t>
      </w:r>
      <w:r>
        <w:t xml:space="preserve">contribution described potential design optimizations that can be applicable </w:t>
      </w:r>
      <w:r>
        <w:fldChar w:fldCharType="begin"/>
      </w:r>
      <w:r>
        <w:instrText xml:space="preserve"> REF _Ref189809591 \r \h </w:instrText>
      </w:r>
      <w:r>
        <w:fldChar w:fldCharType="separate"/>
      </w:r>
      <w:r w:rsidR="00760D77">
        <w:t>[8]</w:t>
      </w:r>
      <w:r>
        <w:fldChar w:fldCharType="end"/>
      </w:r>
      <w:r>
        <w:t>.  Based on these observations,</w:t>
      </w:r>
      <w:r w:rsidR="00B808FA">
        <w:t xml:space="preserve"> an argument can be made for defining the </w:t>
      </w:r>
      <w:r w:rsidR="0045251E">
        <w:t>Scenario 2 radiated power and radiated sensitivity</w:t>
      </w:r>
      <w:r w:rsidR="00B808FA">
        <w:t xml:space="preserve"> metric</w:t>
      </w:r>
      <w:r w:rsidR="0045251E">
        <w:t>s</w:t>
      </w:r>
      <w:r w:rsidR="00B808FA">
        <w:t xml:space="preserve"> as partial integrals over a subset of elevation angles, as an example, or other similar schemes.  Given this observation, it follows that the design and performance of such implementation-specific schemes can vary widely depending on form factor design, region, band, and satellite constellation.  Additional band-specific aspects, such as the impact of duplexer separation on the accuracy of such device positioning algorithms, should also be considered by RAN4.</w:t>
      </w:r>
    </w:p>
    <w:p w14:paraId="0ABA46AB" w14:textId="16FEE32F" w:rsidR="00680F74" w:rsidRDefault="0045251E" w:rsidP="0045251E">
      <w:pPr>
        <w:pStyle w:val="Proposal"/>
      </w:pPr>
      <w:bookmarkStart w:id="17" w:name="_Toc194058880"/>
      <w:bookmarkStart w:id="18" w:name="_Toc194058961"/>
      <w:bookmarkStart w:id="19" w:name="_Toc194059006"/>
      <w:bookmarkStart w:id="20" w:name="_Toc194059104"/>
      <w:bookmarkStart w:id="21" w:name="_Toc194059238"/>
      <w:bookmarkStart w:id="22" w:name="_Toc197634264"/>
      <w:bookmarkStart w:id="23" w:name="_Toc197634312"/>
      <w:bookmarkStart w:id="24" w:name="_Toc206148025"/>
      <w:bookmarkStart w:id="25" w:name="_Toc206154909"/>
      <w:r w:rsidRPr="005C5ADE">
        <w:t xml:space="preserve">Proposal </w:t>
      </w:r>
      <w:r w:rsidR="00580C5B">
        <w:t>1</w:t>
      </w:r>
      <w:r w:rsidRPr="005C5ADE">
        <w:t>:</w:t>
      </w:r>
      <w:r w:rsidRPr="005C5ADE">
        <w:tab/>
      </w:r>
      <w:r>
        <w:t xml:space="preserve">For handheld </w:t>
      </w:r>
      <w:r w:rsidR="00684DEF">
        <w:t xml:space="preserve">IoT/NR NTN </w:t>
      </w:r>
      <w:r>
        <w:t xml:space="preserve">devices declaring support of Scenario 2, </w:t>
      </w:r>
      <w:r w:rsidRPr="00454F91">
        <w:t xml:space="preserve">RAN4 </w:t>
      </w:r>
      <w:r>
        <w:t>to</w:t>
      </w:r>
      <w:r w:rsidRPr="00454F91">
        <w:t xml:space="preserve"> consider</w:t>
      </w:r>
      <w:r>
        <w:t xml:space="preserve"> defining </w:t>
      </w:r>
      <w:r w:rsidR="00680F74">
        <w:t xml:space="preserve">the metric to be the </w:t>
      </w:r>
      <w:r w:rsidR="00680F74" w:rsidRPr="00680F74">
        <w:t>surface integral o</w:t>
      </w:r>
      <w:r w:rsidR="00680F74">
        <w:t>f</w:t>
      </w:r>
      <w:r w:rsidR="00680F74" w:rsidRPr="00680F74">
        <w:t xml:space="preserve"> EIRP/EIS over the specified range of angles and normalized by the isotropic radiator performance over the same angles</w:t>
      </w:r>
      <w:r w:rsidR="00680F74"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AB68AB3" w14:textId="79DD03D7" w:rsidR="00C65017" w:rsidRDefault="00C65017" w:rsidP="00B808FA">
      <w:r>
        <w:t xml:space="preserve">The draft CR has included a section to define applicability as follows </w:t>
      </w:r>
      <w:r>
        <w:fldChar w:fldCharType="begin"/>
      </w:r>
      <w:r>
        <w:instrText xml:space="preserve"> REF _Ref197632395 \r \h </w:instrText>
      </w:r>
      <w:r>
        <w:fldChar w:fldCharType="separate"/>
      </w:r>
      <w:r w:rsidR="00760D77">
        <w:t>[7]</w:t>
      </w:r>
      <w:r>
        <w:fldChar w:fldCharType="end"/>
      </w:r>
      <w:r w:rsidR="001474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74BD" w14:paraId="63507FEA" w14:textId="77777777" w:rsidTr="001474BD">
        <w:tc>
          <w:tcPr>
            <w:tcW w:w="9631" w:type="dxa"/>
          </w:tcPr>
          <w:p w14:paraId="66DA648E" w14:textId="4D26680C" w:rsidR="001474BD" w:rsidRDefault="001474BD" w:rsidP="00B808FA">
            <w:r w:rsidRPr="001474BD">
              <w:rPr>
                <w:noProof/>
              </w:rPr>
              <w:lastRenderedPageBreak/>
              <w:drawing>
                <wp:inline distT="0" distB="0" distL="0" distR="0" wp14:anchorId="55726668" wp14:editId="20CF79A7">
                  <wp:extent cx="6122035" cy="1838960"/>
                  <wp:effectExtent l="0" t="0" r="0" b="2540"/>
                  <wp:docPr id="471719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7192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183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FB5C7E" w14:textId="77777777" w:rsidR="001474BD" w:rsidRDefault="001474BD" w:rsidP="00B808FA"/>
    <w:p w14:paraId="3EAD2F6B" w14:textId="0169292E" w:rsidR="00A77556" w:rsidRDefault="001474BD" w:rsidP="00B808FA">
      <w:r>
        <w:t xml:space="preserve">In our understanding, UHRP is a special case of PsRP when </w:t>
      </w:r>
      <w:r>
        <w:rPr>
          <w:lang w:val="el-GR"/>
        </w:rPr>
        <w:t>θ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[0,180]</w:t>
      </w:r>
      <w:r w:rsidRPr="00505F63">
        <w:rPr>
          <w:vertAlign w:val="superscript"/>
        </w:rPr>
        <w:t>o</w:t>
      </w:r>
      <w:r>
        <w:t xml:space="preserve"> and </w:t>
      </w:r>
      <w:r>
        <w:rPr>
          <w:lang w:val="el-GR"/>
        </w:rPr>
        <w:t>φ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[0,360]</w:t>
      </w:r>
      <w:r w:rsidRPr="00505F63">
        <w:rPr>
          <w:vertAlign w:val="superscript"/>
        </w:rPr>
        <w:t xml:space="preserve"> o</w:t>
      </w:r>
      <w:r>
        <w:t xml:space="preserve">.  </w:t>
      </w:r>
      <w:r w:rsidR="00A77556">
        <w:t>Referring to Issue 2-1-5, our preference is Option 2 (multiple elevation angular ranges declared by the OEM), which implies that in total we have the following PsRP definitions:</w:t>
      </w:r>
    </w:p>
    <w:p w14:paraId="2E1CFD2F" w14:textId="6920109F" w:rsidR="00A77556" w:rsidRDefault="00A77556" w:rsidP="00A77556">
      <w:pPr>
        <w:pStyle w:val="B1"/>
      </w:pPr>
      <w:r>
        <w:t xml:space="preserve">UHRP: </w:t>
      </w:r>
      <w:r>
        <w:rPr>
          <w:lang w:val="el-GR"/>
        </w:rPr>
        <w:t>θ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</w:t>
      </w:r>
      <w:r w:rsidR="00EC34E0">
        <w:t>-90</w:t>
      </w:r>
      <w:r>
        <w:t>,</w:t>
      </w:r>
      <w:r w:rsidR="00EC34E0">
        <w:t xml:space="preserve"> 90</w:t>
      </w:r>
      <w:r>
        <w:t>]</w:t>
      </w:r>
      <w:r w:rsidRPr="00505F63">
        <w:rPr>
          <w:vertAlign w:val="superscript"/>
        </w:rPr>
        <w:t>o</w:t>
      </w:r>
      <w:r>
        <w:t xml:space="preserve"> and </w:t>
      </w:r>
      <w:r>
        <w:rPr>
          <w:lang w:val="el-GR"/>
        </w:rPr>
        <w:t>φ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[0,</w:t>
      </w:r>
      <w:r w:rsidR="00EC34E0">
        <w:t xml:space="preserve"> </w:t>
      </w:r>
      <w:r>
        <w:t>360]</w:t>
      </w:r>
      <w:r w:rsidRPr="00505F63">
        <w:rPr>
          <w:vertAlign w:val="superscript"/>
        </w:rPr>
        <w:t xml:space="preserve"> o</w:t>
      </w:r>
    </w:p>
    <w:p w14:paraId="74BA5A11" w14:textId="0E2A810D" w:rsidR="00A77556" w:rsidRDefault="00A77556" w:rsidP="00A77556">
      <w:pPr>
        <w:pStyle w:val="B1"/>
      </w:pPr>
      <w:r>
        <w:t>PsPR</w:t>
      </w:r>
      <w:r w:rsidRPr="00A77556">
        <w:rPr>
          <w:vertAlign w:val="subscript"/>
        </w:rPr>
        <w:t>60</w:t>
      </w:r>
      <w:r>
        <w:t xml:space="preserve">: </w:t>
      </w:r>
      <w:r>
        <w:rPr>
          <w:lang w:val="el-GR"/>
        </w:rPr>
        <w:t>θ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</w:t>
      </w:r>
      <w:r w:rsidR="00EC34E0">
        <w:t>-60</w:t>
      </w:r>
      <w:r>
        <w:t>,</w:t>
      </w:r>
      <w:r w:rsidR="00EC34E0">
        <w:t xml:space="preserve"> 60</w:t>
      </w:r>
      <w:r>
        <w:t>]</w:t>
      </w:r>
      <w:r w:rsidRPr="00505F63">
        <w:rPr>
          <w:vertAlign w:val="superscript"/>
        </w:rPr>
        <w:t>o</w:t>
      </w:r>
      <w:r>
        <w:t xml:space="preserve"> and </w:t>
      </w:r>
      <w:r>
        <w:rPr>
          <w:lang w:val="el-GR"/>
        </w:rPr>
        <w:t>φ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[0,</w:t>
      </w:r>
      <w:r w:rsidR="00EC34E0">
        <w:t xml:space="preserve"> </w:t>
      </w:r>
      <w:r>
        <w:t>360]</w:t>
      </w:r>
      <w:r w:rsidRPr="00505F63">
        <w:rPr>
          <w:vertAlign w:val="superscript"/>
        </w:rPr>
        <w:t xml:space="preserve"> o</w:t>
      </w:r>
    </w:p>
    <w:p w14:paraId="5BFF6170" w14:textId="0FA588AC" w:rsidR="00A77556" w:rsidRDefault="00A77556" w:rsidP="00A77556">
      <w:pPr>
        <w:pStyle w:val="B1"/>
      </w:pPr>
      <w:r>
        <w:t>PsRP</w:t>
      </w:r>
      <w:r w:rsidRPr="00A77556">
        <w:rPr>
          <w:vertAlign w:val="subscript"/>
        </w:rPr>
        <w:t>30</w:t>
      </w:r>
      <w:r>
        <w:t xml:space="preserve">: </w:t>
      </w:r>
      <w:r>
        <w:rPr>
          <w:lang w:val="el-GR"/>
        </w:rPr>
        <w:t>θ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</w:t>
      </w:r>
      <w:r w:rsidR="00EC34E0">
        <w:t>-30</w:t>
      </w:r>
      <w:r>
        <w:t>,</w:t>
      </w:r>
      <w:r w:rsidR="00EC34E0">
        <w:t xml:space="preserve"> 30</w:t>
      </w:r>
      <w:r>
        <w:t>]</w:t>
      </w:r>
      <w:r w:rsidRPr="00505F63">
        <w:rPr>
          <w:vertAlign w:val="superscript"/>
        </w:rPr>
        <w:t>o</w:t>
      </w:r>
      <w:r>
        <w:t xml:space="preserve"> and </w:t>
      </w:r>
      <w:r>
        <w:rPr>
          <w:lang w:val="el-GR"/>
        </w:rPr>
        <w:t>φ</w:t>
      </w:r>
      <w: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[0,</w:t>
      </w:r>
      <w:r w:rsidR="00EC34E0">
        <w:t xml:space="preserve"> </w:t>
      </w:r>
      <w:r>
        <w:t>360]</w:t>
      </w:r>
      <w:r w:rsidRPr="00505F63">
        <w:rPr>
          <w:vertAlign w:val="superscript"/>
        </w:rPr>
        <w:t xml:space="preserve"> o</w:t>
      </w:r>
    </w:p>
    <w:p w14:paraId="18513C76" w14:textId="47CCE518" w:rsidR="00A77556" w:rsidRDefault="00A77556" w:rsidP="00B808FA">
      <w:r>
        <w:t>Also based on the agreement from RAN4 #115 (Issue 2-1-2), we have the following possible range of tilt angles for the DUT initial positioning:</w:t>
      </w:r>
    </w:p>
    <w:p w14:paraId="609C7AC2" w14:textId="59937079" w:rsidR="00A77556" w:rsidRPr="00A77556" w:rsidRDefault="00A77556" w:rsidP="00A77556">
      <w:pPr>
        <w:pStyle w:val="B1"/>
        <w:rPr>
          <w:lang w:val="en-US"/>
        </w:rPr>
      </w:pPr>
      <w:r>
        <w:t xml:space="preserve">Tilt: </w:t>
      </w:r>
      <w:r>
        <w:rPr>
          <w:lang w:val="el-GR"/>
        </w:rPr>
        <w:t>θ</w:t>
      </w:r>
      <w:r w:rsidRPr="00A77556">
        <w:rPr>
          <w:vertAlign w:val="subscript"/>
          <w:lang w:val="en-US"/>
        </w:rPr>
        <w:t>T</w:t>
      </w:r>
      <w:r>
        <w:rPr>
          <w:lang w:val="en-US"/>
        </w:rPr>
        <w:t xml:space="preserve"> </w:t>
      </w:r>
      <w:r w:rsidRPr="00415A90">
        <w:rPr>
          <w:rFonts w:ascii="Cambria Math" w:hAnsi="Cambria Math" w:cs="Cambria Math"/>
        </w:rPr>
        <w:t>∈</w:t>
      </w:r>
      <w:r>
        <w:t xml:space="preserve"> [-45, -30, -15, 0, 15, 30, 45]</w:t>
      </w:r>
      <w:r w:rsidRPr="00A77556">
        <w:rPr>
          <w:vertAlign w:val="superscript"/>
        </w:rPr>
        <w:t xml:space="preserve"> </w:t>
      </w:r>
      <w:r w:rsidRPr="00505F63">
        <w:rPr>
          <w:vertAlign w:val="superscript"/>
        </w:rPr>
        <w:t>o</w:t>
      </w:r>
    </w:p>
    <w:p w14:paraId="1F320214" w14:textId="6D7D4B71" w:rsidR="00A77556" w:rsidRDefault="00A77556" w:rsidP="00B808FA">
      <w:r>
        <w:t xml:space="preserve">Combining these aspects together, the potential OEM declaration </w:t>
      </w:r>
      <w:r w:rsidR="00041CDF">
        <w:t>and applicability matrix can be as follows</w:t>
      </w:r>
      <w: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1281"/>
        <w:gridCol w:w="1616"/>
        <w:gridCol w:w="2831"/>
        <w:gridCol w:w="2638"/>
      </w:tblGrid>
      <w:tr w:rsidR="00041CDF" w:rsidRPr="00041CDF" w14:paraId="1DE2CBFB" w14:textId="77777777" w:rsidTr="00041CDF">
        <w:trPr>
          <w:trHeight w:val="345"/>
        </w:trPr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DCDD11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b/>
                <w:bCs/>
                <w:color w:val="000000"/>
                <w:sz w:val="15"/>
                <w:szCs w:val="15"/>
                <w:lang w:val="en-US"/>
              </w:rPr>
              <w:t>Scenario / description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199C22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b/>
                <w:bCs/>
                <w:color w:val="000000"/>
                <w:sz w:val="15"/>
                <w:szCs w:val="15"/>
                <w:lang w:val="en-US"/>
              </w:rPr>
              <w:t>OTA performance metric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879EB8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b/>
                <w:bCs/>
                <w:color w:val="000000"/>
                <w:sz w:val="15"/>
                <w:szCs w:val="15"/>
                <w:lang w:val="en-US"/>
              </w:rPr>
              <w:t>Applicability of mechanical modes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E0AE92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b/>
                <w:bCs/>
                <w:color w:val="000000"/>
                <w:sz w:val="15"/>
                <w:szCs w:val="15"/>
                <w:lang w:val="en-US"/>
              </w:rPr>
              <w:t>Additional parameters declared by the OEM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95D394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b/>
                <w:bCs/>
                <w:color w:val="000000"/>
                <w:sz w:val="15"/>
                <w:szCs w:val="15"/>
                <w:lang w:val="en-US"/>
              </w:rPr>
              <w:t>Comments</w:t>
            </w:r>
          </w:p>
        </w:tc>
      </w:tr>
      <w:tr w:rsidR="00041CDF" w:rsidRPr="00041CDF" w14:paraId="061ABB1C" w14:textId="77777777" w:rsidTr="00041CDF">
        <w:trPr>
          <w:trHeight w:val="885"/>
        </w:trPr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EB1EFA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Scenario 1</w:t>
            </w:r>
          </w:p>
          <w:p w14:paraId="44103CA7" w14:textId="77777777" w:rsidR="00041CDF" w:rsidRPr="00041CDF" w:rsidRDefault="00041CDF" w:rsidP="00041CDF">
            <w:pPr>
              <w:spacing w:after="0"/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</w:pPr>
          </w:p>
          <w:p w14:paraId="3DF3B8B9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both head+hand mode and hand only mode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0253D1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Full sphere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56651F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Talk mode (head+hand phantom) and browsing mode (hand phantom)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723B31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None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5593F9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Legacy TRP/TRS metric</w:t>
            </w:r>
          </w:p>
        </w:tc>
      </w:tr>
      <w:tr w:rsidR="00041CDF" w:rsidRPr="00041CDF" w14:paraId="3F7374F0" w14:textId="77777777" w:rsidTr="00041CDF">
        <w:trPr>
          <w:trHeight w:val="705"/>
        </w:trPr>
        <w:tc>
          <w:tcPr>
            <w:tcW w:w="12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88DA31" w14:textId="5648BB90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Scenario </w:t>
            </w:r>
            <w:r w:rsidR="005F1D8C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2</w:t>
            </w:r>
          </w:p>
          <w:p w14:paraId="7F276C67" w14:textId="77777777" w:rsidR="00041CDF" w:rsidRPr="00041CDF" w:rsidRDefault="00041CDF" w:rsidP="00041CDF">
            <w:pPr>
              <w:spacing w:after="0"/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</w:pPr>
          </w:p>
          <w:p w14:paraId="2676AD1F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hand only mode targeted for specific UE orientation usage</w:t>
            </w: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DC41EC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UHRP or PsRP, depending on additional parameters declared by the OEM</w:t>
            </w:r>
          </w:p>
        </w:tc>
        <w:tc>
          <w:tcPr>
            <w:tcW w:w="1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D9D565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Browsing mode (hand phantom)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DC7BA6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DUT tilt for initial positioning is declared as one of the following values:</w:t>
            </w:r>
          </w:p>
          <w:p w14:paraId="79808816" w14:textId="77777777" w:rsidR="00041CDF" w:rsidRPr="00041CDF" w:rsidRDefault="00041CDF" w:rsidP="00041CDF">
            <w:pPr>
              <w:spacing w:after="0"/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</w:pPr>
          </w:p>
          <w:p w14:paraId="52F1ACB3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θ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bscript"/>
                <w:lang w:val="en-US"/>
              </w:rPr>
              <w:t>T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 </w:t>
            </w:r>
            <w:r w:rsidRPr="00041CDF">
              <w:rPr>
                <w:rFonts w:ascii="Apple Symbols" w:hAnsi="Apple Symbols" w:cs="Apple Symbols" w:hint="cs"/>
                <w:color w:val="000000"/>
                <w:sz w:val="15"/>
                <w:szCs w:val="15"/>
                <w:lang w:val="en-US"/>
              </w:rPr>
              <w:t>∈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 [-45, -30, -15, 0, 15, 30, 45]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perscript"/>
                <w:lang w:val="en-US"/>
              </w:rPr>
              <w:t>o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7B40D9" w14:textId="45FF0D9B" w:rsidR="00041CDF" w:rsidRPr="00041CDF" w:rsidRDefault="005F1D8C" w:rsidP="00041CDF">
            <w:pPr>
              <w:spacing w:after="0"/>
              <w:rPr>
                <w:rFonts w:ascii="Helvetica" w:hAnsi="Helvetica"/>
                <w:sz w:val="18"/>
                <w:szCs w:val="18"/>
                <w:lang w:val="en-US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New DUT positioning guidelines per Issue 2-1-2 in </w:t>
            </w:r>
            <w:r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fldChar w:fldCharType="begin"/>
            </w:r>
            <w:r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instrText xml:space="preserve"> REF _Ref206148019 \r \h </w:instrText>
            </w:r>
            <w:r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</w:r>
            <w:r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fldChar w:fldCharType="separate"/>
            </w:r>
            <w:r w:rsidR="00760D77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[6]</w:t>
            </w:r>
            <w:r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fldChar w:fldCharType="end"/>
            </w:r>
          </w:p>
        </w:tc>
      </w:tr>
      <w:tr w:rsidR="00041CDF" w:rsidRPr="00041CDF" w14:paraId="6C635425" w14:textId="77777777" w:rsidTr="00041CDF">
        <w:trPr>
          <w:trHeight w:val="7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9E631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0B8D2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F3406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1B7497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Elevation range: θ </w:t>
            </w:r>
            <w:r w:rsidRPr="00041CDF">
              <w:rPr>
                <w:rFonts w:ascii="Apple Symbols" w:hAnsi="Apple Symbols" w:cs="Apple Symbols" w:hint="cs"/>
                <w:color w:val="000000"/>
                <w:sz w:val="15"/>
                <w:szCs w:val="15"/>
                <w:lang w:val="en-US"/>
              </w:rPr>
              <w:t>∈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 [-θ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bscript"/>
                <w:lang w:val="en-US"/>
              </w:rPr>
              <w:t>R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, θ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bscript"/>
                <w:lang w:val="en-US"/>
              </w:rPr>
              <w:t>R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]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perscript"/>
                <w:lang w:val="en-US"/>
              </w:rPr>
              <w:t xml:space="preserve"> o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, where θ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bscript"/>
                <w:lang w:val="en-US"/>
              </w:rPr>
              <w:t>R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 is declared as one of the following values:</w:t>
            </w:r>
          </w:p>
          <w:p w14:paraId="0254975B" w14:textId="77777777" w:rsidR="00041CDF" w:rsidRPr="00041CDF" w:rsidRDefault="00041CDF" w:rsidP="00041CDF">
            <w:pPr>
              <w:spacing w:after="0"/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</w:pPr>
          </w:p>
          <w:p w14:paraId="023F3104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θ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bscript"/>
                <w:lang w:val="en-US"/>
              </w:rPr>
              <w:t>R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 </w:t>
            </w:r>
            <w:r w:rsidRPr="00041CDF">
              <w:rPr>
                <w:rFonts w:ascii="Apple Symbols" w:hAnsi="Apple Symbols" w:cs="Apple Symbols" w:hint="cs"/>
                <w:color w:val="000000"/>
                <w:sz w:val="15"/>
                <w:szCs w:val="15"/>
                <w:lang w:val="en-US"/>
              </w:rPr>
              <w:t>∈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 [90, 60, 30]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perscript"/>
                <w:lang w:val="en-US"/>
              </w:rPr>
              <w:t>o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480759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If the OEM declares θ</w:t>
            </w:r>
            <w:r w:rsidRPr="00041CDF">
              <w:rPr>
                <w:rFonts w:ascii="Helvetica Neue" w:hAnsi="Helvetica Neue"/>
                <w:color w:val="000000"/>
                <w:sz w:val="10"/>
                <w:szCs w:val="10"/>
                <w:vertAlign w:val="subscript"/>
                <w:lang w:val="en-US"/>
              </w:rPr>
              <w:t>R</w:t>
            </w: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=90, then the UHRP metric applies</w:t>
            </w:r>
          </w:p>
          <w:p w14:paraId="5F4EC834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Otherwise, the corresponding PsRP metric applies</w:t>
            </w:r>
          </w:p>
        </w:tc>
      </w:tr>
      <w:tr w:rsidR="00041CDF" w:rsidRPr="00041CDF" w14:paraId="1A406C2C" w14:textId="77777777" w:rsidTr="00041CDF">
        <w:trPr>
          <w:trHeight w:val="1065"/>
        </w:trPr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A006CE" w14:textId="086BBA58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 xml:space="preserve">Scenario </w:t>
            </w:r>
            <w:r w:rsidR="005F1D8C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3</w:t>
            </w:r>
          </w:p>
          <w:p w14:paraId="4B31CDF3" w14:textId="77777777" w:rsidR="00041CDF" w:rsidRPr="00041CDF" w:rsidRDefault="00041CDF" w:rsidP="00041CDF">
            <w:pPr>
              <w:spacing w:after="0"/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</w:pPr>
          </w:p>
          <w:p w14:paraId="50B6B732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hand only mode targeted for arbitrary UE orientation usage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9EE3CA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Full sphere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958211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Browsing mode (hand phantom)</w:t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AB9D2A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None</w:t>
            </w:r>
          </w:p>
        </w:tc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B9500B" w14:textId="77777777" w:rsidR="00041CDF" w:rsidRPr="00041CDF" w:rsidRDefault="00041CDF" w:rsidP="00041CDF">
            <w:pPr>
              <w:spacing w:after="0"/>
              <w:rPr>
                <w:sz w:val="24"/>
                <w:szCs w:val="24"/>
                <w:lang w:val="en-US"/>
              </w:rPr>
            </w:pPr>
            <w:r w:rsidRPr="00041CDF">
              <w:rPr>
                <w:rFonts w:ascii="Helvetica Neue" w:hAnsi="Helvetica Neue"/>
                <w:color w:val="000000"/>
                <w:sz w:val="15"/>
                <w:szCs w:val="15"/>
                <w:lang w:val="en-US"/>
              </w:rPr>
              <w:t>Legacy TRP/TRS metric</w:t>
            </w:r>
          </w:p>
        </w:tc>
      </w:tr>
    </w:tbl>
    <w:p w14:paraId="47BA0C78" w14:textId="77777777" w:rsidR="00A77556" w:rsidRDefault="00A77556" w:rsidP="00B808FA"/>
    <w:p w14:paraId="426DCE2D" w14:textId="64778553" w:rsidR="00B44FAA" w:rsidRPr="00B44FAA" w:rsidRDefault="00B808FA" w:rsidP="002C64BF">
      <w:pPr>
        <w:pStyle w:val="Proposal"/>
        <w:rPr>
          <w:lang w:val="en-US"/>
        </w:rPr>
      </w:pPr>
      <w:bookmarkStart w:id="26" w:name="_Toc197634265"/>
      <w:bookmarkStart w:id="27" w:name="_Toc197634313"/>
      <w:bookmarkStart w:id="28" w:name="_Toc206148026"/>
      <w:bookmarkStart w:id="29" w:name="_Toc206154910"/>
      <w:bookmarkStart w:id="30" w:name="_Toc194058881"/>
      <w:bookmarkStart w:id="31" w:name="_Toc194058962"/>
      <w:bookmarkStart w:id="32" w:name="_Toc194059007"/>
      <w:bookmarkStart w:id="33" w:name="_Toc194059105"/>
      <w:bookmarkStart w:id="34" w:name="_Toc194059239"/>
      <w:bookmarkStart w:id="35" w:name="_Toc166416647"/>
      <w:bookmarkStart w:id="36" w:name="_Toc166481686"/>
      <w:bookmarkStart w:id="37" w:name="_Toc181871881"/>
      <w:bookmarkStart w:id="38" w:name="_Toc181873636"/>
      <w:bookmarkStart w:id="39" w:name="_Toc181873696"/>
      <w:bookmarkStart w:id="40" w:name="_Toc181955629"/>
      <w:bookmarkStart w:id="41" w:name="_Toc189727132"/>
      <w:bookmarkStart w:id="42" w:name="_Toc189810792"/>
      <w:bookmarkStart w:id="43" w:name="_Toc189810803"/>
      <w:bookmarkStart w:id="44" w:name="_Toc189810860"/>
      <w:bookmarkStart w:id="45" w:name="_Toc194058139"/>
      <w:r w:rsidRPr="005C5ADE">
        <w:t xml:space="preserve">Proposal </w:t>
      </w:r>
      <w:r w:rsidR="00580C5B">
        <w:t>2</w:t>
      </w:r>
      <w:r w:rsidRPr="005C5ADE">
        <w:t>:</w:t>
      </w:r>
      <w:r w:rsidRPr="005C5ADE">
        <w:tab/>
      </w:r>
      <w:r w:rsidR="00EA37CD">
        <w:t>TR 38.870 should capture the OEM declaration and applicability matrix</w:t>
      </w:r>
      <w:r w:rsidR="00B44FAA">
        <w:t>.</w:t>
      </w:r>
      <w:bookmarkEnd w:id="26"/>
      <w:bookmarkEnd w:id="27"/>
      <w:bookmarkEnd w:id="28"/>
      <w:bookmarkEnd w:id="29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AD68D96" w14:textId="77777777" w:rsidR="002C64BF" w:rsidRDefault="002C64BF" w:rsidP="006047D6"/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001A58A1" w14:textId="0A89C9F0" w:rsidR="00E72324" w:rsidRDefault="005D6137" w:rsidP="00E72324">
      <w:r>
        <w:t xml:space="preserve">This contribution provides our views on the topic of TRP/TRS methodology development for </w:t>
      </w:r>
      <w:r w:rsidR="002121CB">
        <w:t>IoT/NR NTN</w:t>
      </w:r>
      <w:r>
        <w:t xml:space="preserve"> devices.  The following observation and proposal are made:</w:t>
      </w:r>
    </w:p>
    <w:p w14:paraId="307999BA" w14:textId="77777777" w:rsidR="00760D77" w:rsidRDefault="00F62AE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760D77">
        <w:rPr>
          <w:noProof/>
        </w:rPr>
        <w:t>Observation 1:</w:t>
      </w:r>
      <w:r w:rsidR="00760D77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760D77">
        <w:rPr>
          <w:noProof/>
        </w:rPr>
        <w:t>For Scenario 1 and 3 UEs, RAN4 has already agreed that the full-sphere TRP and TRS metrics apply.</w:t>
      </w:r>
    </w:p>
    <w:p w14:paraId="6F3027FC" w14:textId="440B3F46" w:rsidR="00BA300B" w:rsidRDefault="00F62AEB" w:rsidP="00E72324">
      <w:r>
        <w:rPr>
          <w:rFonts w:asciiTheme="minorHAnsi" w:hAnsiTheme="minorHAnsi"/>
          <w:bCs/>
        </w:rPr>
        <w:fldChar w:fldCharType="end"/>
      </w:r>
    </w:p>
    <w:p w14:paraId="7AC0E861" w14:textId="77777777" w:rsidR="00760D77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760D77">
        <w:rPr>
          <w:noProof/>
        </w:rPr>
        <w:t>Proposal 1:</w:t>
      </w:r>
      <w:r w:rsidR="00760D77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760D77">
        <w:rPr>
          <w:noProof/>
        </w:rPr>
        <w:t>For handheld IoT/NR NTN devices declaring support of Scenario 2, RAN4 to consider defining the metric to be the surface integral of EIRP/EIS over the specified range of angles and normalized by the isotropic radiator performance over the same angles.</w:t>
      </w:r>
    </w:p>
    <w:p w14:paraId="559FD0C4" w14:textId="77777777" w:rsidR="00760D77" w:rsidRDefault="00760D77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TR 38.870 should capture the OEM declaration and applicability matrix.</w:t>
      </w:r>
    </w:p>
    <w:p w14:paraId="05CC6F0A" w14:textId="6F18CEE2" w:rsidR="005E69AE" w:rsidRDefault="0062595A" w:rsidP="00133E65">
      <w:r>
        <w:rPr>
          <w:b/>
          <w:bCs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034F0ED3" w14:textId="3EF0E3A2" w:rsidR="00086E33" w:rsidRDefault="00B845A4" w:rsidP="00086E33">
      <w:pPr>
        <w:pStyle w:val="EX"/>
      </w:pPr>
      <w:bookmarkStart w:id="46" w:name="_Ref197632155"/>
      <w:r w:rsidRPr="00B845A4">
        <w:t>RP-240841</w:t>
      </w:r>
      <w:r>
        <w:t>, “</w:t>
      </w:r>
      <w:r w:rsidRPr="00B845A4">
        <w:t>New WID: WI on TRP (Total Radiated Power), TRS (Total Radiated Sensitivity) and MIMO OTA (Over the Air) testing enhancement Phase 3</w:t>
      </w:r>
      <w:r>
        <w:t>,” Qualcomm, 3GPP RAN #103, March 2024</w:t>
      </w:r>
      <w:bookmarkStart w:id="47" w:name="_Ref181870462"/>
      <w:bookmarkEnd w:id="46"/>
    </w:p>
    <w:p w14:paraId="17282112" w14:textId="271FA022" w:rsidR="00E91317" w:rsidRDefault="00E91317" w:rsidP="005E69AE">
      <w:pPr>
        <w:pStyle w:val="EX"/>
      </w:pPr>
      <w:bookmarkStart w:id="48" w:name="_Ref189727199"/>
      <w:r w:rsidRPr="00E91317">
        <w:t>R4-2416590</w:t>
      </w:r>
      <w:r>
        <w:t>, “</w:t>
      </w:r>
      <w:r w:rsidRPr="00E91317">
        <w:t>Way Forward for [112bis][323] TRP_TRS_Ph3</w:t>
      </w:r>
      <w:r>
        <w:t>,” vivo, 3GPP RAN4 #112bis, October 2024</w:t>
      </w:r>
      <w:bookmarkEnd w:id="47"/>
      <w:bookmarkEnd w:id="48"/>
    </w:p>
    <w:p w14:paraId="702450F4" w14:textId="0CCC39F9" w:rsidR="00086E33" w:rsidRDefault="00086E33" w:rsidP="00086E33">
      <w:pPr>
        <w:pStyle w:val="EX"/>
      </w:pPr>
      <w:bookmarkStart w:id="49" w:name="_Ref189727234"/>
      <w:r w:rsidRPr="00086E33">
        <w:t>R4-2419808</w:t>
      </w:r>
      <w:r>
        <w:t>, “</w:t>
      </w:r>
      <w:r w:rsidRPr="00086E33">
        <w:t>WF for [113][325] TRP_TRS_Ph3</w:t>
      </w:r>
      <w:r>
        <w:t>,</w:t>
      </w:r>
      <w:r w:rsidR="005A24BF">
        <w:t>”</w:t>
      </w:r>
      <w:r>
        <w:t xml:space="preserve"> vivo, 3GPP RAN4 #113, November 2024</w:t>
      </w:r>
      <w:bookmarkEnd w:id="49"/>
    </w:p>
    <w:p w14:paraId="3E125EEE" w14:textId="6EC33004" w:rsidR="005A24BF" w:rsidRDefault="005A24BF" w:rsidP="00086E33">
      <w:pPr>
        <w:pStyle w:val="EX"/>
      </w:pPr>
      <w:bookmarkStart w:id="50" w:name="_Ref194057820"/>
      <w:r w:rsidRPr="005A24BF">
        <w:t>R4-2502370</w:t>
      </w:r>
      <w:r>
        <w:t>, “</w:t>
      </w:r>
      <w:r w:rsidRPr="005A24BF">
        <w:t>Way Forward for [114][327] TRP_TRS_Ph3</w:t>
      </w:r>
      <w:r>
        <w:t>,” vivo, 3GPP RAN4 #114, February 2025</w:t>
      </w:r>
      <w:bookmarkEnd w:id="50"/>
    </w:p>
    <w:p w14:paraId="46530B12" w14:textId="7253038B" w:rsidR="00AA3963" w:rsidRDefault="00AA3963" w:rsidP="00086E33">
      <w:pPr>
        <w:pStyle w:val="EX"/>
      </w:pPr>
      <w:bookmarkStart w:id="51" w:name="_Ref197632314"/>
      <w:r w:rsidRPr="00AA3963">
        <w:t>R4-2505426</w:t>
      </w:r>
      <w:r>
        <w:t>, “</w:t>
      </w:r>
      <w:r w:rsidRPr="00AA3963">
        <w:t>WF for [114bis][328] TRP_TRS_MIMO_OTA_Ph3</w:t>
      </w:r>
      <w:r>
        <w:t>,” vivo, 3GPP RAN4 #114bis, April 2025</w:t>
      </w:r>
      <w:bookmarkEnd w:id="51"/>
    </w:p>
    <w:p w14:paraId="075CCA47" w14:textId="7264D19F" w:rsidR="00415E38" w:rsidRDefault="00415E38" w:rsidP="00086E33">
      <w:pPr>
        <w:pStyle w:val="EX"/>
      </w:pPr>
      <w:bookmarkStart w:id="52" w:name="_Ref206148019"/>
      <w:r w:rsidRPr="00415E38">
        <w:t>R4-2508782</w:t>
      </w:r>
      <w:r>
        <w:t>, “</w:t>
      </w:r>
      <w:r w:rsidRPr="00415E38">
        <w:t>Way Forward for [115][337] TRP_TRS_MIMO_OTA_Ph3</w:t>
      </w:r>
      <w:r>
        <w:t>,” vivo, 3GPP RAN4 #115, May 2025</w:t>
      </w:r>
      <w:bookmarkEnd w:id="52"/>
    </w:p>
    <w:p w14:paraId="43319C16" w14:textId="05F5F622" w:rsidR="00AA3963" w:rsidRDefault="00415E38" w:rsidP="00086E33">
      <w:pPr>
        <w:pStyle w:val="EX"/>
      </w:pPr>
      <w:bookmarkStart w:id="53" w:name="_Ref197632395"/>
      <w:r w:rsidRPr="00415E38">
        <w:t>R4-2508779</w:t>
      </w:r>
      <w:r w:rsidR="00AA3963">
        <w:t>, “</w:t>
      </w:r>
      <w:r w:rsidR="00AA3963" w:rsidRPr="00AA3963">
        <w:t>Draft CR to 38.870 on NTN OTA performance metric and test method</w:t>
      </w:r>
      <w:r w:rsidR="00AA3963">
        <w:t>,” vivo, 3GPP RAN4 #11</w:t>
      </w:r>
      <w:r>
        <w:t>5</w:t>
      </w:r>
      <w:r w:rsidR="00AA3963">
        <w:t xml:space="preserve">, </w:t>
      </w:r>
      <w:r>
        <w:t>May</w:t>
      </w:r>
      <w:r w:rsidR="00AA3963">
        <w:t xml:space="preserve"> 2025</w:t>
      </w:r>
      <w:bookmarkEnd w:id="53"/>
    </w:p>
    <w:p w14:paraId="6DDCC12F" w14:textId="02360A2A" w:rsidR="00086E33" w:rsidRDefault="00086E33" w:rsidP="00086E33">
      <w:pPr>
        <w:pStyle w:val="EX"/>
      </w:pPr>
      <w:bookmarkStart w:id="54" w:name="_Ref189809591"/>
      <w:r w:rsidRPr="00086E33">
        <w:t>R4-2417757</w:t>
      </w:r>
      <w:r>
        <w:t>, “</w:t>
      </w:r>
      <w:r w:rsidRPr="00086E33">
        <w:t>On NTN TRP TRS test methodology</w:t>
      </w:r>
      <w:r>
        <w:t>,” Apple, 3GPP RAN4 #113, November 2024</w:t>
      </w:r>
      <w:bookmarkEnd w:id="54"/>
    </w:p>
    <w:p w14:paraId="56269846" w14:textId="111C71E5" w:rsidR="0016744E" w:rsidRDefault="0016744E" w:rsidP="005E69AE">
      <w:pPr>
        <w:pStyle w:val="EX"/>
      </w:pPr>
      <w:bookmarkStart w:id="55" w:name="_Ref181873541"/>
      <w:r>
        <w:t>TR38.821, “</w:t>
      </w:r>
      <w:r w:rsidRPr="0016744E">
        <w:t>Solutions for NR to support non-terrestrial networks (NTN)</w:t>
      </w:r>
      <w:r>
        <w:t>”</w:t>
      </w:r>
      <w:bookmarkEnd w:id="55"/>
    </w:p>
    <w:bookmarkEnd w:id="0"/>
    <w:p w14:paraId="2C7BC95E" w14:textId="77777777" w:rsidR="00080512" w:rsidRDefault="00080512"/>
    <w:sectPr w:rsidR="00080512" w:rsidSect="008802E3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F4D12" w14:textId="77777777" w:rsidR="00AD0A2F" w:rsidRDefault="00AD0A2F">
      <w:r>
        <w:separator/>
      </w:r>
    </w:p>
  </w:endnote>
  <w:endnote w:type="continuationSeparator" w:id="0">
    <w:p w14:paraId="5DC5DD92" w14:textId="77777777" w:rsidR="00AD0A2F" w:rsidRDefault="00AD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ple Symbols">
    <w:panose1 w:val="02000000000000000000"/>
    <w:charset w:val="B1"/>
    <w:family w:val="auto"/>
    <w:pitch w:val="variable"/>
    <w:sig w:usb0="800008A3" w:usb1="08007BEB" w:usb2="01840034" w:usb3="00000000" w:csb0="000001F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9FCA8" w14:textId="77777777" w:rsidR="00AD0A2F" w:rsidRDefault="00AD0A2F">
      <w:r>
        <w:separator/>
      </w:r>
    </w:p>
  </w:footnote>
  <w:footnote w:type="continuationSeparator" w:id="0">
    <w:p w14:paraId="5AA964DD" w14:textId="77777777" w:rsidR="00AD0A2F" w:rsidRDefault="00AD0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F781F"/>
    <w:multiLevelType w:val="multilevel"/>
    <w:tmpl w:val="FD043F6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E2D77"/>
    <w:multiLevelType w:val="hybridMultilevel"/>
    <w:tmpl w:val="DE1A43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92A94"/>
    <w:multiLevelType w:val="hybridMultilevel"/>
    <w:tmpl w:val="7ED8C6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2"/>
  </w:num>
  <w:num w:numId="4" w16cid:durableId="1418938167">
    <w:abstractNumId w:val="11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7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941835483">
    <w:abstractNumId w:val="10"/>
  </w:num>
  <w:num w:numId="12" w16cid:durableId="309528925">
    <w:abstractNumId w:val="1"/>
  </w:num>
  <w:num w:numId="13" w16cid:durableId="541599305">
    <w:abstractNumId w:val="9"/>
  </w:num>
  <w:num w:numId="14" w16cid:durableId="21159722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4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5BD"/>
    <w:rsid w:val="00033397"/>
    <w:rsid w:val="00040095"/>
    <w:rsid w:val="00041CDF"/>
    <w:rsid w:val="00046813"/>
    <w:rsid w:val="00051834"/>
    <w:rsid w:val="00054A22"/>
    <w:rsid w:val="00062023"/>
    <w:rsid w:val="000655A6"/>
    <w:rsid w:val="00080512"/>
    <w:rsid w:val="00086E33"/>
    <w:rsid w:val="000A365D"/>
    <w:rsid w:val="000A520F"/>
    <w:rsid w:val="000A68F3"/>
    <w:rsid w:val="000B2238"/>
    <w:rsid w:val="000B4768"/>
    <w:rsid w:val="000B5595"/>
    <w:rsid w:val="000C0B58"/>
    <w:rsid w:val="000C47C3"/>
    <w:rsid w:val="000D58AB"/>
    <w:rsid w:val="000D7AE4"/>
    <w:rsid w:val="001039F6"/>
    <w:rsid w:val="00104BC6"/>
    <w:rsid w:val="00114E2C"/>
    <w:rsid w:val="00132D8D"/>
    <w:rsid w:val="00133525"/>
    <w:rsid w:val="00133E65"/>
    <w:rsid w:val="001474BD"/>
    <w:rsid w:val="0015393D"/>
    <w:rsid w:val="0015737E"/>
    <w:rsid w:val="0016744E"/>
    <w:rsid w:val="001A4C42"/>
    <w:rsid w:val="001A60B9"/>
    <w:rsid w:val="001C21C3"/>
    <w:rsid w:val="001D02C2"/>
    <w:rsid w:val="001D3A29"/>
    <w:rsid w:val="001E1FFA"/>
    <w:rsid w:val="001E2BCF"/>
    <w:rsid w:val="001F0C1D"/>
    <w:rsid w:val="001F1132"/>
    <w:rsid w:val="001F168B"/>
    <w:rsid w:val="001F3CDB"/>
    <w:rsid w:val="001F718D"/>
    <w:rsid w:val="00207A0E"/>
    <w:rsid w:val="002121CB"/>
    <w:rsid w:val="002150C6"/>
    <w:rsid w:val="002347A2"/>
    <w:rsid w:val="002406B8"/>
    <w:rsid w:val="00245BAB"/>
    <w:rsid w:val="00247926"/>
    <w:rsid w:val="00247A96"/>
    <w:rsid w:val="002675F0"/>
    <w:rsid w:val="00276EE4"/>
    <w:rsid w:val="002B6339"/>
    <w:rsid w:val="002C64BF"/>
    <w:rsid w:val="002E00EE"/>
    <w:rsid w:val="002E6F20"/>
    <w:rsid w:val="003172DC"/>
    <w:rsid w:val="00317AC7"/>
    <w:rsid w:val="00332C09"/>
    <w:rsid w:val="0034052F"/>
    <w:rsid w:val="0034772E"/>
    <w:rsid w:val="0035462D"/>
    <w:rsid w:val="00373848"/>
    <w:rsid w:val="003765B8"/>
    <w:rsid w:val="003775B4"/>
    <w:rsid w:val="00395D4B"/>
    <w:rsid w:val="003A0483"/>
    <w:rsid w:val="003C3971"/>
    <w:rsid w:val="003D266E"/>
    <w:rsid w:val="003E0E54"/>
    <w:rsid w:val="003E643E"/>
    <w:rsid w:val="003E7753"/>
    <w:rsid w:val="00406A7A"/>
    <w:rsid w:val="00415A90"/>
    <w:rsid w:val="00415E38"/>
    <w:rsid w:val="004205CB"/>
    <w:rsid w:val="00423334"/>
    <w:rsid w:val="00433253"/>
    <w:rsid w:val="004345EC"/>
    <w:rsid w:val="0045251E"/>
    <w:rsid w:val="004826A9"/>
    <w:rsid w:val="00491484"/>
    <w:rsid w:val="004C1601"/>
    <w:rsid w:val="004D3578"/>
    <w:rsid w:val="004E213A"/>
    <w:rsid w:val="004E4D44"/>
    <w:rsid w:val="004F0988"/>
    <w:rsid w:val="004F3340"/>
    <w:rsid w:val="004F3E3D"/>
    <w:rsid w:val="00505F63"/>
    <w:rsid w:val="00507AB6"/>
    <w:rsid w:val="0053388B"/>
    <w:rsid w:val="00535773"/>
    <w:rsid w:val="00543E6C"/>
    <w:rsid w:val="0055413F"/>
    <w:rsid w:val="00565087"/>
    <w:rsid w:val="00572E14"/>
    <w:rsid w:val="00575811"/>
    <w:rsid w:val="00577A18"/>
    <w:rsid w:val="00580C5B"/>
    <w:rsid w:val="00595C50"/>
    <w:rsid w:val="005973BE"/>
    <w:rsid w:val="005A24BF"/>
    <w:rsid w:val="005A5986"/>
    <w:rsid w:val="005C5ADE"/>
    <w:rsid w:val="005D2E01"/>
    <w:rsid w:val="005D6137"/>
    <w:rsid w:val="005D6DDA"/>
    <w:rsid w:val="005D7526"/>
    <w:rsid w:val="005E69AE"/>
    <w:rsid w:val="005F1D8C"/>
    <w:rsid w:val="00602AEA"/>
    <w:rsid w:val="006037AE"/>
    <w:rsid w:val="006047D6"/>
    <w:rsid w:val="00607E3C"/>
    <w:rsid w:val="00614FDF"/>
    <w:rsid w:val="006246A7"/>
    <w:rsid w:val="0062595A"/>
    <w:rsid w:val="00634406"/>
    <w:rsid w:val="0063543D"/>
    <w:rsid w:val="00647114"/>
    <w:rsid w:val="00653558"/>
    <w:rsid w:val="00680F74"/>
    <w:rsid w:val="00684DEF"/>
    <w:rsid w:val="006A323F"/>
    <w:rsid w:val="006A3823"/>
    <w:rsid w:val="006B30D0"/>
    <w:rsid w:val="006B59E0"/>
    <w:rsid w:val="006C3D95"/>
    <w:rsid w:val="006E5C86"/>
    <w:rsid w:val="00713C44"/>
    <w:rsid w:val="00734A5B"/>
    <w:rsid w:val="0074026F"/>
    <w:rsid w:val="007429F6"/>
    <w:rsid w:val="00744E76"/>
    <w:rsid w:val="00751D71"/>
    <w:rsid w:val="00752198"/>
    <w:rsid w:val="00753881"/>
    <w:rsid w:val="00760D77"/>
    <w:rsid w:val="007621E9"/>
    <w:rsid w:val="0077048F"/>
    <w:rsid w:val="00774DA4"/>
    <w:rsid w:val="00777646"/>
    <w:rsid w:val="00781F0F"/>
    <w:rsid w:val="00797046"/>
    <w:rsid w:val="007B600E"/>
    <w:rsid w:val="007E7306"/>
    <w:rsid w:val="007F0F4A"/>
    <w:rsid w:val="007F71BD"/>
    <w:rsid w:val="008028A4"/>
    <w:rsid w:val="008029FB"/>
    <w:rsid w:val="00817778"/>
    <w:rsid w:val="00820B25"/>
    <w:rsid w:val="00830747"/>
    <w:rsid w:val="008768CA"/>
    <w:rsid w:val="008802E3"/>
    <w:rsid w:val="0089637A"/>
    <w:rsid w:val="008B4534"/>
    <w:rsid w:val="008C384C"/>
    <w:rsid w:val="008E7986"/>
    <w:rsid w:val="0090271F"/>
    <w:rsid w:val="00902E23"/>
    <w:rsid w:val="009114D7"/>
    <w:rsid w:val="0091348E"/>
    <w:rsid w:val="00917CCB"/>
    <w:rsid w:val="00942EC2"/>
    <w:rsid w:val="00957D75"/>
    <w:rsid w:val="009746C7"/>
    <w:rsid w:val="009D725E"/>
    <w:rsid w:val="009F37B7"/>
    <w:rsid w:val="009F5E43"/>
    <w:rsid w:val="00A10F02"/>
    <w:rsid w:val="00A120BA"/>
    <w:rsid w:val="00A164B4"/>
    <w:rsid w:val="00A24DAA"/>
    <w:rsid w:val="00A26956"/>
    <w:rsid w:val="00A315E1"/>
    <w:rsid w:val="00A53724"/>
    <w:rsid w:val="00A73129"/>
    <w:rsid w:val="00A77556"/>
    <w:rsid w:val="00A82346"/>
    <w:rsid w:val="00A8729C"/>
    <w:rsid w:val="00A90846"/>
    <w:rsid w:val="00A92BA1"/>
    <w:rsid w:val="00AA3963"/>
    <w:rsid w:val="00AB6D6F"/>
    <w:rsid w:val="00AC6BC6"/>
    <w:rsid w:val="00AD0A2F"/>
    <w:rsid w:val="00AE3797"/>
    <w:rsid w:val="00B15449"/>
    <w:rsid w:val="00B44626"/>
    <w:rsid w:val="00B44FAA"/>
    <w:rsid w:val="00B808FA"/>
    <w:rsid w:val="00B845A4"/>
    <w:rsid w:val="00B93086"/>
    <w:rsid w:val="00BA19ED"/>
    <w:rsid w:val="00BA300B"/>
    <w:rsid w:val="00BA4B8D"/>
    <w:rsid w:val="00BC0F7D"/>
    <w:rsid w:val="00BE3255"/>
    <w:rsid w:val="00BF128E"/>
    <w:rsid w:val="00C06268"/>
    <w:rsid w:val="00C102F5"/>
    <w:rsid w:val="00C1496A"/>
    <w:rsid w:val="00C33079"/>
    <w:rsid w:val="00C45231"/>
    <w:rsid w:val="00C65017"/>
    <w:rsid w:val="00C72833"/>
    <w:rsid w:val="00C80F1D"/>
    <w:rsid w:val="00C93F40"/>
    <w:rsid w:val="00CA3D0C"/>
    <w:rsid w:val="00CC3C11"/>
    <w:rsid w:val="00CD555A"/>
    <w:rsid w:val="00CD71E9"/>
    <w:rsid w:val="00CD77D6"/>
    <w:rsid w:val="00CF20E3"/>
    <w:rsid w:val="00D0351A"/>
    <w:rsid w:val="00D13723"/>
    <w:rsid w:val="00D309CC"/>
    <w:rsid w:val="00D46431"/>
    <w:rsid w:val="00D56A52"/>
    <w:rsid w:val="00D57972"/>
    <w:rsid w:val="00D60850"/>
    <w:rsid w:val="00D64C63"/>
    <w:rsid w:val="00D675A9"/>
    <w:rsid w:val="00D738D6"/>
    <w:rsid w:val="00D755EB"/>
    <w:rsid w:val="00D87E00"/>
    <w:rsid w:val="00D9134D"/>
    <w:rsid w:val="00D97C91"/>
    <w:rsid w:val="00DA7A03"/>
    <w:rsid w:val="00DB1818"/>
    <w:rsid w:val="00DC309B"/>
    <w:rsid w:val="00DC4DA2"/>
    <w:rsid w:val="00DD4C17"/>
    <w:rsid w:val="00DF1920"/>
    <w:rsid w:val="00DF2B1F"/>
    <w:rsid w:val="00DF6189"/>
    <w:rsid w:val="00DF62CD"/>
    <w:rsid w:val="00E16509"/>
    <w:rsid w:val="00E44582"/>
    <w:rsid w:val="00E52814"/>
    <w:rsid w:val="00E60495"/>
    <w:rsid w:val="00E72324"/>
    <w:rsid w:val="00E72511"/>
    <w:rsid w:val="00E72ABE"/>
    <w:rsid w:val="00E77645"/>
    <w:rsid w:val="00E8496D"/>
    <w:rsid w:val="00E91317"/>
    <w:rsid w:val="00EA1DF9"/>
    <w:rsid w:val="00EA37CD"/>
    <w:rsid w:val="00EC34E0"/>
    <w:rsid w:val="00EC4A25"/>
    <w:rsid w:val="00EE5AA7"/>
    <w:rsid w:val="00F025A2"/>
    <w:rsid w:val="00F04712"/>
    <w:rsid w:val="00F21311"/>
    <w:rsid w:val="00F22EC7"/>
    <w:rsid w:val="00F325C8"/>
    <w:rsid w:val="00F477C6"/>
    <w:rsid w:val="00F56D37"/>
    <w:rsid w:val="00F62AEB"/>
    <w:rsid w:val="00F653B8"/>
    <w:rsid w:val="00F70647"/>
    <w:rsid w:val="00F85EA1"/>
    <w:rsid w:val="00F9377D"/>
    <w:rsid w:val="00FA1266"/>
    <w:rsid w:val="00FA2DA6"/>
    <w:rsid w:val="00FA33F8"/>
    <w:rsid w:val="00FC1192"/>
    <w:rsid w:val="00FD1FDE"/>
    <w:rsid w:val="00FE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  <w:rPr>
      <w:sz w:val="24"/>
      <w:szCs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1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1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rynqvb">
    <w:name w:val="rynqvb"/>
    <w:basedOn w:val="DefaultParagraphFont"/>
    <w:rsid w:val="00415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210</TotalTime>
  <Pages>5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75</cp:revision>
  <cp:lastPrinted>2019-02-25T14:05:00Z</cp:lastPrinted>
  <dcterms:created xsi:type="dcterms:W3CDTF">2019-08-13T15:36:00Z</dcterms:created>
  <dcterms:modified xsi:type="dcterms:W3CDTF">2025-08-15T20:01:00Z</dcterms:modified>
  <cp:category/>
</cp:coreProperties>
</file>